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b/>
          <w:color w:val="ff0000"/>
          <w:sz w:val="56"/>
          <w:szCs w:val="56"/>
        </w:rPr>
      </w:pPr>
      <w:r>
        <w:rPr>
          <w:b/>
          <w:color w:val="ff0000"/>
          <w:sz w:val="56"/>
          <w:szCs w:val="56"/>
        </w:rPr>
        <w:t>CURRICULUM VITAE</w:t>
      </w:r>
    </w:p>
    <w:tbl>
      <w:tblPr>
        <w:tblStyle w:val="style154"/>
        <w:tblW w:w="0" w:type="auto"/>
        <w:tblLook w:val="04A0" w:firstRow="1" w:lastRow="0" w:firstColumn="1" w:lastColumn="0" w:noHBand="0" w:noVBand="1"/>
      </w:tblPr>
      <w:tblGrid>
        <w:gridCol w:w="2085"/>
        <w:gridCol w:w="433"/>
        <w:gridCol w:w="2088"/>
        <w:gridCol w:w="1314"/>
        <w:gridCol w:w="1985"/>
        <w:gridCol w:w="1307"/>
      </w:tblGrid>
      <w:tr>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Prénom</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Aboubacrine</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 xml:space="preserve">Nom </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Ould Souleymane</w:t>
            </w:r>
          </w:p>
        </w:tc>
      </w:tr>
      <w:tr>
        <w:tblPrEx/>
        <w:trPr>
          <w:trHeight w:val="285" w:hRule="atLeast"/>
        </w:trPr>
        <w:tc>
          <w:tcPr>
            <w:tcW w:w="2085" w:type="dxa"/>
            <w:vMerge w:val="restart"/>
            <w:tcBorders>
              <w:righ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 xml:space="preserve"> Date et</w:t>
            </w:r>
          </w:p>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Lieu de naissance</w:t>
            </w:r>
          </w:p>
        </w:tc>
        <w:tc>
          <w:tcPr>
            <w:tcW w:w="433" w:type="dxa"/>
            <w:vMerge w:val="restart"/>
            <w:tcBorders>
              <w:left w:val="single" w:sz="4" w:space="0" w:color="auto"/>
              <w:right w:val="single" w:sz="4" w:space="0" w:color="auto"/>
            </w:tcBorders>
          </w:tcPr>
          <w:p>
            <w:pPr>
              <w:pStyle w:val="style0"/>
              <w:rPr>
                <w:rFonts w:ascii="Calibri" w:cs="Calibri" w:eastAsia="Calibri" w:hAnsi="Calibri"/>
                <w:b/>
                <w:sz w:val="28"/>
                <w:szCs w:val="28"/>
              </w:rPr>
            </w:pPr>
          </w:p>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A</w:t>
            </w:r>
          </w:p>
        </w:tc>
        <w:tc>
          <w:tcPr>
            <w:tcW w:w="2088" w:type="dxa"/>
            <w:vMerge w:val="restart"/>
            <w:tcBorders>
              <w:lef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Gourma-Rharous</w:t>
            </w:r>
          </w:p>
        </w:tc>
        <w:tc>
          <w:tcPr>
            <w:tcW w:w="1314" w:type="dxa"/>
            <w:tcBorders>
              <w:bottom w:val="single" w:sz="4" w:space="0" w:color="auto"/>
              <w:righ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jour</w:t>
            </w:r>
          </w:p>
        </w:tc>
        <w:tc>
          <w:tcPr>
            <w:tcW w:w="1985" w:type="dxa"/>
            <w:tcBorders>
              <w:left w:val="single" w:sz="4" w:space="0" w:color="auto"/>
              <w:bottom w:val="single" w:sz="4" w:space="0" w:color="auto"/>
              <w:righ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 xml:space="preserve">       mois</w:t>
            </w:r>
          </w:p>
        </w:tc>
        <w:tc>
          <w:tcPr>
            <w:tcW w:w="1307" w:type="dxa"/>
            <w:tcBorders>
              <w:left w:val="single" w:sz="4" w:space="0" w:color="auto"/>
              <w:bottom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année</w:t>
            </w:r>
          </w:p>
        </w:tc>
      </w:tr>
      <w:tr>
        <w:tblPrEx/>
        <w:trPr>
          <w:trHeight w:val="300" w:hRule="atLeast"/>
        </w:trPr>
        <w:tc>
          <w:tcPr>
            <w:tcW w:w="2085" w:type="dxa"/>
            <w:vMerge w:val="continue"/>
            <w:tcBorders>
              <w:right w:val="single" w:sz="4" w:space="0" w:color="auto"/>
            </w:tcBorders>
          </w:tcPr>
          <w:p>
            <w:pPr>
              <w:pStyle w:val="style0"/>
              <w:tabs>
                <w:tab w:val="left" w:leader="none" w:pos="426"/>
              </w:tabs>
              <w:rPr>
                <w:rFonts w:ascii="Calibri" w:cs="Calibri" w:eastAsia="Calibri" w:hAnsi="Calibri"/>
                <w:b/>
                <w:sz w:val="28"/>
                <w:szCs w:val="28"/>
              </w:rPr>
            </w:pPr>
          </w:p>
        </w:tc>
        <w:tc>
          <w:tcPr>
            <w:tcW w:w="433" w:type="dxa"/>
            <w:vMerge w:val="continue"/>
            <w:tcBorders>
              <w:left w:val="single" w:sz="4" w:space="0" w:color="auto"/>
              <w:right w:val="single" w:sz="4" w:space="0" w:color="auto"/>
            </w:tcBorders>
          </w:tcPr>
          <w:p>
            <w:pPr>
              <w:pStyle w:val="style0"/>
              <w:rPr>
                <w:rFonts w:ascii="Calibri" w:cs="Calibri" w:eastAsia="Calibri" w:hAnsi="Calibri"/>
                <w:b/>
                <w:sz w:val="28"/>
                <w:szCs w:val="28"/>
              </w:rPr>
            </w:pPr>
          </w:p>
        </w:tc>
        <w:tc>
          <w:tcPr>
            <w:tcW w:w="2088" w:type="dxa"/>
            <w:vMerge w:val="continue"/>
            <w:tcBorders>
              <w:left w:val="single" w:sz="4" w:space="0" w:color="auto"/>
            </w:tcBorders>
          </w:tcPr>
          <w:p>
            <w:pPr>
              <w:pStyle w:val="style0"/>
              <w:rPr>
                <w:rFonts w:ascii="Calibri" w:cs="Calibri" w:eastAsia="Calibri" w:hAnsi="Calibri"/>
                <w:b/>
                <w:sz w:val="28"/>
                <w:szCs w:val="28"/>
              </w:rPr>
            </w:pPr>
          </w:p>
        </w:tc>
        <w:tc>
          <w:tcPr>
            <w:tcW w:w="1314" w:type="dxa"/>
            <w:tcBorders>
              <w:top w:val="single" w:sz="4" w:space="0" w:color="auto"/>
              <w:righ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24</w:t>
            </w:r>
          </w:p>
        </w:tc>
        <w:tc>
          <w:tcPr>
            <w:tcW w:w="1985" w:type="dxa"/>
            <w:tcBorders>
              <w:top w:val="single" w:sz="4" w:space="0" w:color="auto"/>
              <w:left w:val="single" w:sz="4" w:space="0" w:color="auto"/>
              <w:righ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Novembre</w:t>
            </w:r>
          </w:p>
        </w:tc>
        <w:tc>
          <w:tcPr>
            <w:tcW w:w="1307" w:type="dxa"/>
            <w:tcBorders>
              <w:top w:val="single" w:sz="4" w:space="0" w:color="auto"/>
              <w:left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1985</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Nationalité</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Malienne</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Situation Matrimoniale</w:t>
            </w:r>
          </w:p>
        </w:tc>
        <w:tc>
          <w:tcPr>
            <w:tcW w:w="4606" w:type="dxa"/>
            <w:gridSpan w:val="3"/>
            <w:tcBorders/>
          </w:tcPr>
          <w:p>
            <w:pPr>
              <w:pStyle w:val="style0"/>
              <w:rPr>
                <w:b/>
                <w:sz w:val="28"/>
                <w:szCs w:val="28"/>
              </w:rPr>
            </w:pPr>
            <w:r>
              <w:rPr>
                <w:b/>
                <w:sz w:val="28"/>
                <w:szCs w:val="28"/>
              </w:rPr>
              <w:t xml:space="preserve">Marié </w:t>
            </w:r>
            <w:r>
              <w:rPr>
                <w:b/>
                <w:sz w:val="28"/>
                <w:szCs w:val="28"/>
              </w:rPr>
              <w:t>, un</w:t>
            </w:r>
            <w:r>
              <w:rPr>
                <w:b/>
                <w:sz w:val="28"/>
                <w:szCs w:val="28"/>
              </w:rPr>
              <w:t xml:space="preserve"> enfant</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Profession</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Juriste</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Cel</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73  33  78 51 /96 91 27 12</w:t>
            </w:r>
          </w:p>
        </w:tc>
      </w:tr>
      <w:tr>
        <w:tblPrEx/>
        <w:trPr/>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Adresse mail</w:t>
            </w:r>
          </w:p>
        </w:tc>
        <w:tc>
          <w:tcPr>
            <w:tcW w:w="4606" w:type="dxa"/>
            <w:gridSpan w:val="3"/>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boubac666@gmail.com</w:t>
            </w:r>
          </w:p>
        </w:tc>
      </w:tr>
    </w:tbl>
    <w:p>
      <w:pPr>
        <w:pStyle w:val="style0"/>
        <w:spacing w:before="240"/>
        <w:jc w:val="center"/>
        <w:rPr>
          <w:sz w:val="28"/>
          <w:szCs w:val="28"/>
        </w:rPr>
      </w:pPr>
      <w:r>
        <w:rPr>
          <w:b/>
          <w:sz w:val="28"/>
          <w:szCs w:val="28"/>
          <w:u w:val="single"/>
        </w:rPr>
        <w:t>Objectif</w:t>
      </w:r>
      <w:r>
        <w:rPr>
          <w:b/>
          <w:sz w:val="28"/>
          <w:szCs w:val="28"/>
        </w:rPr>
        <w:t> :</w:t>
      </w:r>
      <w:r>
        <w:rPr>
          <w:sz w:val="28"/>
          <w:szCs w:val="28"/>
        </w:rPr>
        <w:t xml:space="preserve"> mettre mes compétences et mes ressources à la disposition de la nation</w:t>
      </w:r>
    </w:p>
    <w:p>
      <w:pPr>
        <w:pStyle w:val="style0"/>
        <w:jc w:val="center"/>
        <w:rPr>
          <w:sz w:val="28"/>
          <w:szCs w:val="28"/>
        </w:rPr>
      </w:pPr>
      <w:r>
        <w:rPr>
          <w:b/>
          <w:sz w:val="28"/>
          <w:szCs w:val="28"/>
          <w:u w:val="single"/>
        </w:rPr>
        <w:t>A-ETUDES &amp; DIPLOMES</w:t>
      </w:r>
      <w:r>
        <w:t> :</w:t>
      </w:r>
    </w:p>
    <w:tbl>
      <w:tblPr>
        <w:tblStyle w:val="style154"/>
        <w:tblW w:w="0" w:type="auto"/>
        <w:tblLook w:val="04A0" w:firstRow="1" w:lastRow="0" w:firstColumn="1" w:lastColumn="0" w:noHBand="0" w:noVBand="1"/>
      </w:tblPr>
      <w:tblGrid>
        <w:gridCol w:w="1951"/>
        <w:gridCol w:w="5245"/>
        <w:gridCol w:w="2016"/>
      </w:tblGrid>
      <w:tr>
        <w:trPr/>
        <w:tc>
          <w:tcPr>
            <w:tcW w:w="1951" w:type="dxa"/>
            <w:tcBorders/>
          </w:tcPr>
          <w:p>
            <w:pPr>
              <w:pStyle w:val="style0"/>
              <w:jc w:val="center"/>
              <w:rPr>
                <w:rFonts w:cs="Calibri"/>
                <w:b/>
                <w:sz w:val="28"/>
                <w:szCs w:val="28"/>
              </w:rPr>
            </w:pPr>
            <w:r>
              <w:rPr>
                <w:rFonts w:cs="Calibri"/>
                <w:b/>
                <w:sz w:val="28"/>
                <w:szCs w:val="28"/>
              </w:rPr>
              <w:t>DATE</w:t>
            </w:r>
          </w:p>
        </w:tc>
        <w:tc>
          <w:tcPr>
            <w:tcW w:w="5245" w:type="dxa"/>
            <w:tcBorders>
              <w:bottom w:val="single" w:sz="4" w:space="0" w:color="auto"/>
            </w:tcBorders>
          </w:tcPr>
          <w:p>
            <w:pPr>
              <w:pStyle w:val="style0"/>
              <w:jc w:val="center"/>
              <w:rPr>
                <w:rFonts w:cs="Calibri"/>
                <w:b/>
                <w:sz w:val="28"/>
                <w:szCs w:val="28"/>
              </w:rPr>
            </w:pPr>
            <w:r>
              <w:rPr>
                <w:rFonts w:cs="Calibri"/>
                <w:b/>
                <w:sz w:val="28"/>
                <w:szCs w:val="28"/>
              </w:rPr>
              <w:t>ETABLISSEMENT &amp; LOCALITE</w:t>
            </w:r>
          </w:p>
        </w:tc>
        <w:tc>
          <w:tcPr>
            <w:tcW w:w="2016" w:type="dxa"/>
            <w:tcBorders/>
          </w:tcPr>
          <w:p>
            <w:pPr>
              <w:pStyle w:val="style0"/>
              <w:jc w:val="center"/>
              <w:rPr>
                <w:rFonts w:cs="Calibri"/>
                <w:b/>
                <w:sz w:val="28"/>
                <w:szCs w:val="28"/>
              </w:rPr>
            </w:pPr>
            <w:r>
              <w:rPr>
                <w:rFonts w:cs="Calibri"/>
                <w:b/>
                <w:sz w:val="28"/>
                <w:szCs w:val="28"/>
              </w:rPr>
              <w:t>DIPLOMES</w:t>
            </w:r>
          </w:p>
        </w:tc>
      </w:tr>
      <w:tr>
        <w:tblPrEx/>
        <w:trPr>
          <w:trHeight w:val="1410" w:hRule="atLeast"/>
        </w:trPr>
        <w:tc>
          <w:tcPr>
            <w:tcW w:w="1951" w:type="dxa"/>
            <w:tcBorders/>
          </w:tcPr>
          <w:p>
            <w:pPr>
              <w:pStyle w:val="style0"/>
              <w:jc w:val="center"/>
              <w:rPr>
                <w:rFonts w:cs="Calibri" w:eastAsia="Calibri"/>
                <w:b/>
                <w:sz w:val="24"/>
                <w:szCs w:val="24"/>
              </w:rPr>
            </w:pPr>
            <w:r>
              <w:rPr>
                <w:rFonts w:cs="Calibri" w:eastAsia="Calibri"/>
                <w:b/>
                <w:sz w:val="24"/>
                <w:szCs w:val="24"/>
              </w:rPr>
              <w:t>2</w:t>
            </w:r>
            <w:r>
              <w:rPr>
                <w:rFonts w:cs="Calibri" w:eastAsia="Calibri"/>
                <w:b/>
                <w:sz w:val="24"/>
                <w:szCs w:val="24"/>
              </w:rPr>
              <w:t>010-2011</w:t>
            </w:r>
          </w:p>
          <w:p>
            <w:pPr>
              <w:pStyle w:val="style0"/>
              <w:jc w:val="center"/>
              <w:rPr>
                <w:rFonts w:cs="Calibri" w:eastAsia="Calibri"/>
                <w:b/>
                <w:sz w:val="24"/>
                <w:szCs w:val="24"/>
              </w:rPr>
            </w:pPr>
          </w:p>
          <w:p>
            <w:pPr>
              <w:pStyle w:val="style0"/>
              <w:jc w:val="center"/>
              <w:rPr>
                <w:rFonts w:cs="Calibri" w:eastAsia="Calibri"/>
                <w:b/>
                <w:sz w:val="24"/>
                <w:szCs w:val="24"/>
              </w:rPr>
            </w:pPr>
          </w:p>
          <w:p>
            <w:pPr>
              <w:pStyle w:val="style0"/>
              <w:jc w:val="center"/>
              <w:rPr>
                <w:rFonts w:cs="Calibri" w:eastAsia="Calibri"/>
                <w:b/>
                <w:sz w:val="24"/>
                <w:szCs w:val="24"/>
              </w:rPr>
            </w:pPr>
          </w:p>
          <w:p>
            <w:pPr>
              <w:pStyle w:val="style0"/>
              <w:jc w:val="center"/>
              <w:rPr>
                <w:rFonts w:cs="Calibri"/>
                <w:sz w:val="24"/>
                <w:szCs w:val="24"/>
              </w:rPr>
            </w:pPr>
          </w:p>
        </w:tc>
        <w:tc>
          <w:tcPr>
            <w:tcW w:w="5245" w:type="dxa"/>
            <w:tcBorders/>
          </w:tcPr>
          <w:p>
            <w:pPr>
              <w:pStyle w:val="style179"/>
              <w:numPr>
                <w:ilvl w:val="0"/>
                <w:numId w:val="1"/>
              </w:numPr>
              <w:rPr>
                <w:rFonts w:cs="Calibri"/>
                <w:sz w:val="24"/>
                <w:szCs w:val="24"/>
              </w:rPr>
            </w:pPr>
            <w:r>
              <w:rPr>
                <w:rFonts w:cs="Calibri" w:eastAsia="Calibri"/>
                <w:sz w:val="24"/>
                <w:szCs w:val="24"/>
              </w:rPr>
              <w:t>Droit Public Interne : Faculté des Sciences Juridiques et Politiques de Bamako.</w:t>
            </w:r>
          </w:p>
          <w:p>
            <w:pPr>
              <w:pStyle w:val="style179"/>
              <w:numPr>
                <w:ilvl w:val="0"/>
                <w:numId w:val="2"/>
              </w:numPr>
              <w:rPr>
                <w:rFonts w:cs="Calibri"/>
                <w:sz w:val="24"/>
                <w:szCs w:val="24"/>
              </w:rPr>
            </w:pPr>
            <w:r>
              <w:rPr>
                <w:rFonts w:cs="Calibri" w:eastAsia="Calibri"/>
                <w:b/>
                <w:sz w:val="24"/>
                <w:szCs w:val="24"/>
                <w:u w:val="single"/>
              </w:rPr>
              <w:t>Mémoire de fin de Cycle</w:t>
            </w:r>
            <w:r>
              <w:rPr>
                <w:rFonts w:cs="Calibri" w:eastAsia="Calibri"/>
                <w:sz w:val="24"/>
                <w:szCs w:val="24"/>
              </w:rPr>
              <w:t> : Les relations entre l’administration et les usagers des services publics.</w:t>
            </w:r>
          </w:p>
        </w:tc>
        <w:tc>
          <w:tcPr>
            <w:tcW w:w="2016" w:type="dxa"/>
            <w:tcBorders/>
          </w:tcPr>
          <w:p>
            <w:pPr>
              <w:pStyle w:val="style0"/>
              <w:jc w:val="center"/>
              <w:rPr>
                <w:rFonts w:cs="Calibri"/>
                <w:b/>
                <w:sz w:val="24"/>
                <w:szCs w:val="24"/>
              </w:rPr>
            </w:pPr>
            <w:r>
              <w:rPr>
                <w:rFonts w:cs="Calibri"/>
                <w:b/>
                <w:sz w:val="24"/>
                <w:szCs w:val="24"/>
              </w:rPr>
              <w:t xml:space="preserve">Maitrise     </w:t>
            </w:r>
          </w:p>
          <w:p>
            <w:pPr>
              <w:pStyle w:val="style0"/>
              <w:jc w:val="center"/>
              <w:rPr>
                <w:rFonts w:cs="Calibri"/>
                <w:b/>
                <w:sz w:val="24"/>
                <w:szCs w:val="24"/>
              </w:rPr>
            </w:pPr>
          </w:p>
          <w:p>
            <w:pPr>
              <w:pStyle w:val="style0"/>
              <w:jc w:val="center"/>
              <w:rPr>
                <w:rFonts w:cs="Calibri"/>
                <w:b/>
                <w:sz w:val="24"/>
                <w:szCs w:val="24"/>
              </w:rPr>
            </w:pPr>
          </w:p>
          <w:p>
            <w:pPr>
              <w:pStyle w:val="style0"/>
              <w:jc w:val="center"/>
              <w:rPr>
                <w:rFonts w:cs="Calibri"/>
                <w:b/>
                <w:sz w:val="24"/>
                <w:szCs w:val="24"/>
              </w:rPr>
            </w:pPr>
          </w:p>
          <w:p>
            <w:pPr>
              <w:pStyle w:val="style0"/>
              <w:jc w:val="center"/>
              <w:rPr>
                <w:rFonts w:cs="Calibri"/>
                <w:sz w:val="24"/>
                <w:szCs w:val="24"/>
              </w:rPr>
            </w:pPr>
          </w:p>
        </w:tc>
      </w:tr>
      <w:tr>
        <w:tblPrEx/>
        <w:trPr>
          <w:trHeight w:val="1410" w:hRule="atLeast"/>
        </w:trPr>
        <w:tc>
          <w:tcPr>
            <w:tcW w:w="1951" w:type="dxa"/>
            <w:tcBorders/>
          </w:tcPr>
          <w:p>
            <w:pPr>
              <w:pStyle w:val="style0"/>
              <w:jc w:val="center"/>
              <w:rPr>
                <w:rFonts w:cs="Calibri" w:eastAsia="Calibri"/>
                <w:b/>
                <w:sz w:val="24"/>
                <w:szCs w:val="24"/>
              </w:rPr>
            </w:pPr>
            <w:r>
              <w:rPr>
                <w:rFonts w:cs="Calibri" w:eastAsia="Calibri"/>
                <w:b/>
                <w:sz w:val="24"/>
                <w:szCs w:val="24"/>
              </w:rPr>
              <w:t>2011</w:t>
            </w:r>
          </w:p>
        </w:tc>
        <w:tc>
          <w:tcPr>
            <w:tcW w:w="5245" w:type="dxa"/>
            <w:tcBorders>
              <w:bottom w:val="single" w:sz="4" w:space="0" w:color="auto"/>
            </w:tcBorders>
          </w:tcPr>
          <w:p>
            <w:pPr>
              <w:pStyle w:val="style179"/>
              <w:numPr>
                <w:ilvl w:val="0"/>
                <w:numId w:val="1"/>
              </w:numPr>
              <w:rPr>
                <w:rFonts w:cs="Calibri" w:eastAsia="Calibri"/>
                <w:sz w:val="24"/>
                <w:szCs w:val="24"/>
              </w:rPr>
            </w:pPr>
            <w:r>
              <w:rPr>
                <w:rFonts w:cs="Calibri" w:eastAsia="Calibri"/>
                <w:sz w:val="24"/>
                <w:szCs w:val="24"/>
              </w:rPr>
              <w:t xml:space="preserve">Formation en informatique : Cyber Etoiles (World-Excel-Internet-Power pointe) à Bamako                                               </w:t>
            </w:r>
          </w:p>
        </w:tc>
        <w:tc>
          <w:tcPr>
            <w:tcW w:w="2016" w:type="dxa"/>
            <w:tcBorders/>
          </w:tcPr>
          <w:p>
            <w:pPr>
              <w:pStyle w:val="style0"/>
              <w:jc w:val="center"/>
              <w:rPr>
                <w:rFonts w:cs="Calibri"/>
                <w:b/>
                <w:sz w:val="24"/>
                <w:szCs w:val="24"/>
              </w:rPr>
            </w:pPr>
            <w:r>
              <w:rPr>
                <w:rFonts w:cs="Calibri"/>
                <w:b/>
                <w:sz w:val="24"/>
                <w:szCs w:val="24"/>
              </w:rPr>
              <w:t>Attestation</w:t>
            </w:r>
          </w:p>
        </w:tc>
      </w:tr>
    </w:tbl>
    <w:p>
      <w:pPr>
        <w:pStyle w:val="style0"/>
        <w:jc w:val="center"/>
        <w:rPr>
          <w:rFonts w:cs="Calibri"/>
          <w:sz w:val="24"/>
          <w:szCs w:val="24"/>
        </w:rPr>
      </w:pPr>
    </w:p>
    <w:tbl>
      <w:tblPr>
        <w:tblStyle w:val="style154"/>
        <w:tblW w:w="9302" w:type="dxa"/>
        <w:tblLook w:val="04A0" w:firstRow="1" w:lastRow="0" w:firstColumn="1" w:lastColumn="0" w:noHBand="0" w:noVBand="1"/>
      </w:tblPr>
      <w:tblGrid>
        <w:gridCol w:w="1665"/>
        <w:gridCol w:w="5662"/>
        <w:gridCol w:w="1962"/>
      </w:tblGrid>
      <w:tr>
        <w:trPr>
          <w:trHeight w:val="583" w:hRule="atLeast"/>
        </w:trPr>
        <w:tc>
          <w:tcPr>
            <w:tcW w:w="1668" w:type="dxa"/>
            <w:tcBorders/>
          </w:tcPr>
          <w:p>
            <w:pPr>
              <w:pStyle w:val="style0"/>
              <w:jc w:val="center"/>
              <w:rPr>
                <w:rFonts w:cs="Calibri" w:eastAsia="Calibri"/>
                <w:b/>
                <w:sz w:val="24"/>
                <w:szCs w:val="24"/>
              </w:rPr>
            </w:pPr>
            <w:r>
              <w:rPr>
                <w:rFonts w:cs="Calibri" w:eastAsia="Calibri"/>
                <w:b/>
                <w:sz w:val="24"/>
                <w:szCs w:val="24"/>
              </w:rPr>
              <w:t>2009-2010</w:t>
            </w:r>
          </w:p>
          <w:p>
            <w:pPr>
              <w:pStyle w:val="style0"/>
              <w:jc w:val="center"/>
              <w:rPr>
                <w:rFonts w:cs="Calibri" w:eastAsia="Calibri"/>
                <w:sz w:val="24"/>
                <w:szCs w:val="24"/>
              </w:rPr>
            </w:pPr>
          </w:p>
        </w:tc>
        <w:tc>
          <w:tcPr>
            <w:tcW w:w="5670" w:type="dxa"/>
            <w:tcBorders/>
          </w:tcPr>
          <w:p>
            <w:pPr>
              <w:pStyle w:val="style179"/>
              <w:numPr>
                <w:ilvl w:val="0"/>
                <w:numId w:val="1"/>
              </w:numPr>
              <w:rPr>
                <w:rFonts w:cs="Calibri"/>
                <w:sz w:val="24"/>
                <w:szCs w:val="24"/>
              </w:rPr>
            </w:pPr>
            <w:r>
              <w:rPr>
                <w:rFonts w:cs="Calibri" w:eastAsia="Calibri"/>
                <w:sz w:val="24"/>
                <w:szCs w:val="24"/>
              </w:rPr>
              <w:t>Droit Public Général : Faculté des Sciences Juridiques et Politiques de Bamako.</w:t>
            </w:r>
          </w:p>
        </w:tc>
        <w:tc>
          <w:tcPr>
            <w:tcW w:w="1964" w:type="dxa"/>
            <w:tcBorders/>
          </w:tcPr>
          <w:p>
            <w:pPr>
              <w:pStyle w:val="style0"/>
              <w:rPr>
                <w:rFonts w:cs="Calibri"/>
                <w:b/>
                <w:sz w:val="24"/>
                <w:szCs w:val="24"/>
              </w:rPr>
            </w:pPr>
            <w:r>
              <w:rPr>
                <w:rFonts w:cs="Calibri"/>
                <w:b/>
                <w:sz w:val="24"/>
                <w:szCs w:val="24"/>
              </w:rPr>
              <w:t>Licence</w:t>
            </w:r>
          </w:p>
          <w:p>
            <w:pPr>
              <w:pStyle w:val="style0"/>
              <w:rPr>
                <w:rFonts w:cs="Calibri"/>
                <w:sz w:val="24"/>
                <w:szCs w:val="24"/>
              </w:rPr>
            </w:pPr>
          </w:p>
        </w:tc>
      </w:tr>
      <w:tr>
        <w:tblPrEx/>
        <w:trPr>
          <w:trHeight w:val="867" w:hRule="atLeast"/>
        </w:trPr>
        <w:tc>
          <w:tcPr>
            <w:tcW w:w="1668" w:type="dxa"/>
            <w:tcBorders/>
          </w:tcPr>
          <w:p>
            <w:pPr>
              <w:pStyle w:val="style0"/>
              <w:jc w:val="center"/>
              <w:rPr>
                <w:rFonts w:cs="Calibri" w:eastAsia="Calibri"/>
                <w:b/>
                <w:sz w:val="24"/>
                <w:szCs w:val="24"/>
              </w:rPr>
            </w:pPr>
            <w:r>
              <w:rPr>
                <w:rFonts w:cs="Calibri" w:eastAsia="Calibri"/>
                <w:b/>
                <w:sz w:val="24"/>
                <w:szCs w:val="24"/>
              </w:rPr>
              <w:t>2008-2009</w:t>
            </w:r>
          </w:p>
          <w:p>
            <w:pPr>
              <w:pStyle w:val="style0"/>
              <w:jc w:val="center"/>
              <w:rPr>
                <w:rFonts w:cs="Calibri" w:eastAsia="Calibri"/>
                <w:b/>
                <w:sz w:val="24"/>
                <w:szCs w:val="24"/>
              </w:rPr>
            </w:pPr>
          </w:p>
          <w:p>
            <w:pPr>
              <w:pStyle w:val="style0"/>
              <w:jc w:val="center"/>
              <w:rPr>
                <w:rFonts w:cs="Calibri" w:eastAsia="Calibri"/>
                <w:b/>
                <w:sz w:val="24"/>
                <w:szCs w:val="24"/>
              </w:rPr>
            </w:pPr>
          </w:p>
        </w:tc>
        <w:tc>
          <w:tcPr>
            <w:tcW w:w="5670" w:type="dxa"/>
            <w:tcBorders/>
          </w:tcPr>
          <w:p>
            <w:pPr>
              <w:pStyle w:val="style179"/>
              <w:numPr>
                <w:ilvl w:val="0"/>
                <w:numId w:val="1"/>
              </w:numPr>
              <w:rPr>
                <w:rFonts w:cs="Calibri" w:eastAsia="Calibri"/>
                <w:sz w:val="24"/>
                <w:szCs w:val="24"/>
              </w:rPr>
            </w:pPr>
            <w:r>
              <w:rPr>
                <w:rFonts w:cs="Calibri" w:eastAsia="Calibri"/>
                <w:sz w:val="24"/>
                <w:szCs w:val="24"/>
              </w:rPr>
              <w:t xml:space="preserve">Diplôme d’Etude Universitaire Général de Droit : Faculté des Sciences Juridiques et Politiques de Bamako </w:t>
            </w:r>
          </w:p>
        </w:tc>
        <w:tc>
          <w:tcPr>
            <w:tcW w:w="1964" w:type="dxa"/>
            <w:tcBorders/>
          </w:tcPr>
          <w:p>
            <w:pPr>
              <w:pStyle w:val="style0"/>
              <w:rPr>
                <w:rFonts w:cs="Calibri"/>
                <w:b/>
                <w:sz w:val="24"/>
                <w:szCs w:val="24"/>
              </w:rPr>
            </w:pPr>
            <w:r>
              <w:rPr>
                <w:rFonts w:cs="Calibri"/>
                <w:b/>
                <w:sz w:val="24"/>
                <w:szCs w:val="24"/>
              </w:rPr>
              <w:t xml:space="preserve">         DEUG 2</w:t>
            </w:r>
          </w:p>
          <w:p>
            <w:pPr>
              <w:pStyle w:val="style0"/>
              <w:rPr>
                <w:rFonts w:cs="Calibri"/>
                <w:b/>
                <w:sz w:val="24"/>
                <w:szCs w:val="24"/>
              </w:rPr>
            </w:pPr>
          </w:p>
          <w:p>
            <w:pPr>
              <w:pStyle w:val="style0"/>
              <w:rPr>
                <w:rFonts w:cs="Calibri"/>
                <w:sz w:val="24"/>
                <w:szCs w:val="24"/>
              </w:rPr>
            </w:pPr>
          </w:p>
        </w:tc>
      </w:tr>
      <w:tr>
        <w:tblPrEx/>
        <w:trPr>
          <w:trHeight w:val="617" w:hRule="atLeast"/>
        </w:trPr>
        <w:tc>
          <w:tcPr>
            <w:tcW w:w="1668" w:type="dxa"/>
            <w:tcBorders/>
          </w:tcPr>
          <w:p>
            <w:pPr>
              <w:pStyle w:val="style0"/>
              <w:jc w:val="center"/>
              <w:rPr>
                <w:rFonts w:cs="Calibri" w:eastAsia="Calibri"/>
                <w:b/>
                <w:sz w:val="24"/>
                <w:szCs w:val="24"/>
              </w:rPr>
            </w:pPr>
            <w:r>
              <w:rPr>
                <w:rFonts w:cs="Calibri" w:eastAsia="Calibri"/>
                <w:b/>
                <w:sz w:val="24"/>
                <w:szCs w:val="24"/>
              </w:rPr>
              <w:t>2007-2008</w:t>
            </w:r>
          </w:p>
          <w:p>
            <w:pPr>
              <w:pStyle w:val="style0"/>
              <w:jc w:val="center"/>
              <w:rPr>
                <w:rFonts w:cs="Calibri" w:eastAsia="Calibri"/>
                <w:b/>
                <w:sz w:val="24"/>
                <w:szCs w:val="24"/>
              </w:rPr>
            </w:pPr>
          </w:p>
        </w:tc>
        <w:tc>
          <w:tcPr>
            <w:tcW w:w="5670" w:type="dxa"/>
            <w:tcBorders/>
          </w:tcPr>
          <w:p>
            <w:pPr>
              <w:pStyle w:val="style179"/>
              <w:numPr>
                <w:ilvl w:val="0"/>
                <w:numId w:val="1"/>
              </w:numPr>
              <w:rPr>
                <w:rFonts w:cs="Calibri" w:eastAsia="Calibri"/>
                <w:sz w:val="24"/>
                <w:szCs w:val="24"/>
              </w:rPr>
            </w:pPr>
            <w:r>
              <w:rPr>
                <w:rFonts w:cs="Calibri" w:eastAsia="Calibri"/>
                <w:sz w:val="24"/>
                <w:szCs w:val="24"/>
              </w:rPr>
              <w:t xml:space="preserve"> La Première année de Droit à la Faculté des Sciences Juridiques de Bamako  </w:t>
            </w:r>
          </w:p>
        </w:tc>
        <w:tc>
          <w:tcPr>
            <w:tcW w:w="1964" w:type="dxa"/>
            <w:tcBorders/>
          </w:tcPr>
          <w:p>
            <w:pPr>
              <w:pStyle w:val="style0"/>
              <w:rPr>
                <w:rFonts w:cs="Calibri"/>
                <w:b/>
                <w:sz w:val="24"/>
                <w:szCs w:val="24"/>
              </w:rPr>
            </w:pPr>
            <w:r>
              <w:rPr>
                <w:rFonts w:cs="Calibri"/>
                <w:b/>
                <w:sz w:val="24"/>
                <w:szCs w:val="24"/>
              </w:rPr>
              <w:t xml:space="preserve">         DEUG 1</w:t>
            </w:r>
          </w:p>
          <w:p>
            <w:pPr>
              <w:pStyle w:val="style0"/>
              <w:rPr>
                <w:rFonts w:cs="Calibri"/>
                <w:sz w:val="24"/>
                <w:szCs w:val="24"/>
              </w:rPr>
            </w:pPr>
          </w:p>
        </w:tc>
      </w:tr>
      <w:tr>
        <w:tblPrEx/>
        <w:trPr>
          <w:trHeight w:val="536" w:hRule="atLeast"/>
        </w:trPr>
        <w:tc>
          <w:tcPr>
            <w:tcW w:w="1668" w:type="dxa"/>
            <w:tcBorders/>
          </w:tcPr>
          <w:p>
            <w:pPr>
              <w:pStyle w:val="style0"/>
              <w:jc w:val="center"/>
              <w:rPr>
                <w:rFonts w:cs="Calibri" w:eastAsia="Calibri"/>
                <w:sz w:val="24"/>
                <w:szCs w:val="24"/>
              </w:rPr>
            </w:pPr>
            <w:r>
              <w:rPr>
                <w:rFonts w:cs="Calibri" w:eastAsia="Calibri"/>
                <w:b/>
                <w:sz w:val="24"/>
                <w:szCs w:val="24"/>
              </w:rPr>
              <w:t>2007-2006</w:t>
            </w:r>
          </w:p>
          <w:p>
            <w:pPr>
              <w:pStyle w:val="style0"/>
              <w:jc w:val="center"/>
              <w:rPr>
                <w:rFonts w:cs="Calibri" w:eastAsia="Calibri"/>
                <w:b/>
                <w:sz w:val="24"/>
                <w:szCs w:val="24"/>
              </w:rPr>
            </w:pPr>
          </w:p>
        </w:tc>
        <w:tc>
          <w:tcPr>
            <w:tcW w:w="5670" w:type="dxa"/>
            <w:tcBorders/>
          </w:tcPr>
          <w:p>
            <w:pPr>
              <w:pStyle w:val="style179"/>
              <w:numPr>
                <w:ilvl w:val="0"/>
                <w:numId w:val="1"/>
              </w:numPr>
              <w:rPr>
                <w:rFonts w:cs="Calibri" w:eastAsia="Calibri"/>
                <w:sz w:val="24"/>
                <w:szCs w:val="24"/>
              </w:rPr>
            </w:pPr>
            <w:r>
              <w:rPr>
                <w:rFonts w:cs="Calibri" w:eastAsia="Calibri"/>
                <w:sz w:val="24"/>
                <w:szCs w:val="24"/>
              </w:rPr>
              <w:t>Baccalauréat Malien :</w:t>
            </w:r>
            <w:r>
              <w:rPr>
                <w:rFonts w:cs="Calibri"/>
                <w:sz w:val="24"/>
                <w:szCs w:val="24"/>
              </w:rPr>
              <w:t xml:space="preserve"> Lycée </w:t>
            </w:r>
            <w:r>
              <w:rPr>
                <w:rFonts w:cs="Calibri"/>
                <w:sz w:val="24"/>
                <w:szCs w:val="24"/>
              </w:rPr>
              <w:t>HamadounDicko</w:t>
            </w:r>
            <w:r>
              <w:rPr>
                <w:rFonts w:cs="Calibri"/>
                <w:sz w:val="24"/>
                <w:szCs w:val="24"/>
              </w:rPr>
              <w:t xml:space="preserve"> de Sevaré</w:t>
            </w:r>
          </w:p>
        </w:tc>
        <w:tc>
          <w:tcPr>
            <w:tcW w:w="1964" w:type="dxa"/>
            <w:tcBorders/>
          </w:tcPr>
          <w:p>
            <w:pPr>
              <w:pStyle w:val="style0"/>
              <w:rPr>
                <w:rFonts w:cs="Calibri"/>
                <w:b/>
                <w:sz w:val="24"/>
                <w:szCs w:val="24"/>
              </w:rPr>
            </w:pPr>
            <w:r>
              <w:rPr>
                <w:rFonts w:cs="Calibri"/>
                <w:b/>
                <w:sz w:val="24"/>
                <w:szCs w:val="24"/>
              </w:rPr>
              <w:t>Attestation Bac</w:t>
            </w:r>
          </w:p>
          <w:p>
            <w:pPr>
              <w:pStyle w:val="style0"/>
              <w:rPr>
                <w:rFonts w:cs="Calibri"/>
                <w:sz w:val="24"/>
                <w:szCs w:val="24"/>
              </w:rPr>
            </w:pPr>
          </w:p>
        </w:tc>
      </w:tr>
      <w:tr>
        <w:tblPrEx/>
        <w:trPr>
          <w:trHeight w:val="630" w:hRule="atLeast"/>
        </w:trPr>
        <w:tc>
          <w:tcPr>
            <w:tcW w:w="1668" w:type="dxa"/>
            <w:tcBorders/>
          </w:tcPr>
          <w:p>
            <w:pPr>
              <w:pStyle w:val="style0"/>
              <w:jc w:val="center"/>
              <w:rPr>
                <w:rFonts w:cs="Calibri" w:eastAsia="Calibri"/>
                <w:b/>
                <w:sz w:val="24"/>
                <w:szCs w:val="24"/>
              </w:rPr>
            </w:pPr>
            <w:r>
              <w:rPr>
                <w:rFonts w:cs="Calibri" w:eastAsia="Calibri"/>
                <w:b/>
                <w:sz w:val="24"/>
                <w:szCs w:val="24"/>
              </w:rPr>
              <w:t>2001-2002</w:t>
            </w:r>
          </w:p>
        </w:tc>
        <w:tc>
          <w:tcPr>
            <w:tcW w:w="5670" w:type="dxa"/>
            <w:tcBorders/>
          </w:tcPr>
          <w:p>
            <w:pPr>
              <w:pStyle w:val="style179"/>
              <w:numPr>
                <w:ilvl w:val="0"/>
                <w:numId w:val="1"/>
              </w:numPr>
              <w:rPr>
                <w:rFonts w:cs="Calibri"/>
                <w:sz w:val="24"/>
                <w:szCs w:val="24"/>
              </w:rPr>
            </w:pPr>
            <w:r>
              <w:rPr>
                <w:rFonts w:cs="Calibri"/>
                <w:sz w:val="24"/>
                <w:szCs w:val="24"/>
              </w:rPr>
              <w:t xml:space="preserve">Second cycle Rharous 2  </w:t>
            </w:r>
          </w:p>
          <w:p>
            <w:pPr>
              <w:pStyle w:val="style179"/>
              <w:rPr>
                <w:rFonts w:cs="Calibri" w:eastAsia="Calibri"/>
                <w:sz w:val="24"/>
                <w:szCs w:val="24"/>
              </w:rPr>
            </w:pPr>
          </w:p>
        </w:tc>
        <w:tc>
          <w:tcPr>
            <w:tcW w:w="1964" w:type="dxa"/>
            <w:tcBorders/>
          </w:tcPr>
          <w:p>
            <w:pPr>
              <w:pStyle w:val="style0"/>
              <w:rPr>
                <w:rFonts w:cs="Calibri"/>
                <w:sz w:val="24"/>
                <w:szCs w:val="24"/>
              </w:rPr>
            </w:pPr>
            <w:r>
              <w:rPr>
                <w:rFonts w:cs="Calibri"/>
                <w:b/>
                <w:sz w:val="24"/>
                <w:szCs w:val="24"/>
              </w:rPr>
              <w:t>Attestation DEF</w:t>
            </w:r>
          </w:p>
        </w:tc>
      </w:tr>
    </w:tbl>
    <w:p>
      <w:pPr>
        <w:pStyle w:val="style0"/>
        <w:jc w:val="center"/>
        <w:rPr>
          <w:rFonts w:cs="Calibri"/>
          <w:sz w:val="24"/>
          <w:szCs w:val="24"/>
        </w:rPr>
      </w:pPr>
      <w:r>
        <w:rPr>
          <w:rFonts w:cs="Calibri"/>
          <w:b/>
          <w:sz w:val="28"/>
          <w:szCs w:val="28"/>
        </w:rPr>
        <w:t>B</w:t>
      </w:r>
      <w:r>
        <w:rPr>
          <w:rFonts w:cs="Calibri"/>
          <w:sz w:val="28"/>
          <w:szCs w:val="28"/>
        </w:rPr>
        <w:t>-</w:t>
      </w:r>
      <w:r>
        <w:rPr>
          <w:rFonts w:cs="Calibri"/>
          <w:b/>
          <w:sz w:val="28"/>
          <w:szCs w:val="28"/>
          <w:u w:val="single"/>
        </w:rPr>
        <w:t>EXPERIENCES PROFESSIONNELLES</w:t>
      </w:r>
      <w:r>
        <w:rPr>
          <w:rFonts w:cs="Calibri"/>
          <w:sz w:val="24"/>
          <w:szCs w:val="24"/>
        </w:rPr>
        <w:t> :</w:t>
      </w:r>
    </w:p>
    <w:tbl>
      <w:tblPr>
        <w:tblStyle w:val="style154"/>
        <w:tblW w:w="10359" w:type="dxa"/>
        <w:tblInd w:w="-318" w:type="dxa"/>
        <w:tblLayout w:type="fixed"/>
        <w:tblLook w:val="04A0" w:firstRow="1" w:lastRow="0" w:firstColumn="1" w:lastColumn="0" w:noHBand="0" w:noVBand="1"/>
      </w:tblPr>
      <w:tblGrid>
        <w:gridCol w:w="1956"/>
        <w:gridCol w:w="1620"/>
        <w:gridCol w:w="6783"/>
      </w:tblGrid>
      <w:tr>
        <w:trPr>
          <w:trHeight w:val="149" w:hRule="atLeast"/>
        </w:trPr>
        <w:tc>
          <w:tcPr>
            <w:tcW w:w="1956" w:type="dxa"/>
            <w:tcBorders/>
          </w:tcPr>
          <w:p>
            <w:pPr>
              <w:pStyle w:val="style0"/>
              <w:jc w:val="both"/>
              <w:rPr>
                <w:rFonts w:cs="Calibri"/>
                <w:b/>
                <w:sz w:val="28"/>
                <w:szCs w:val="28"/>
              </w:rPr>
            </w:pPr>
            <w:r>
              <w:rPr>
                <w:rFonts w:cs="Calibri"/>
                <w:b/>
                <w:sz w:val="28"/>
                <w:szCs w:val="28"/>
              </w:rPr>
              <w:t>Localité</w:t>
            </w:r>
          </w:p>
        </w:tc>
        <w:tc>
          <w:tcPr>
            <w:tcW w:w="1620" w:type="dxa"/>
            <w:tcBorders/>
          </w:tcPr>
          <w:p>
            <w:pPr>
              <w:pStyle w:val="style0"/>
              <w:jc w:val="both"/>
              <w:rPr>
                <w:rFonts w:cs="Calibri"/>
                <w:b/>
                <w:sz w:val="28"/>
                <w:szCs w:val="28"/>
              </w:rPr>
            </w:pPr>
            <w:r>
              <w:rPr>
                <w:rFonts w:cs="Calibri"/>
                <w:b/>
                <w:sz w:val="28"/>
                <w:szCs w:val="28"/>
              </w:rPr>
              <w:t>D</w:t>
            </w:r>
            <w:r>
              <w:rPr>
                <w:rFonts w:cs="Calibri"/>
                <w:b/>
                <w:sz w:val="28"/>
                <w:szCs w:val="28"/>
              </w:rPr>
              <w:t>ate</w:t>
            </w:r>
          </w:p>
        </w:tc>
        <w:tc>
          <w:tcPr>
            <w:tcW w:w="6783" w:type="dxa"/>
            <w:tcBorders/>
          </w:tcPr>
          <w:p>
            <w:pPr>
              <w:pStyle w:val="style0"/>
              <w:jc w:val="center"/>
              <w:rPr>
                <w:rFonts w:cs="Calibri"/>
                <w:b/>
                <w:sz w:val="28"/>
                <w:szCs w:val="28"/>
              </w:rPr>
            </w:pPr>
            <w:r>
              <w:rPr>
                <w:rFonts w:cs="Calibri"/>
                <w:b/>
                <w:sz w:val="28"/>
                <w:szCs w:val="28"/>
              </w:rPr>
              <w:t>Poste -Type d’appui</w:t>
            </w:r>
          </w:p>
        </w:tc>
      </w:tr>
      <w:tr>
        <w:tblPrEx/>
        <w:trPr>
          <w:trHeight w:val="149" w:hRule="atLeast"/>
        </w:trPr>
        <w:tc>
          <w:tcPr>
            <w:tcW w:w="1956" w:type="dxa"/>
            <w:tcBorders/>
          </w:tcPr>
          <w:p>
            <w:pPr>
              <w:pStyle w:val="style0"/>
              <w:jc w:val="both"/>
              <w:rPr>
                <w:rFonts w:cs="Calibri"/>
                <w:b/>
                <w:sz w:val="24"/>
                <w:szCs w:val="24"/>
              </w:rPr>
            </w:pPr>
            <w:r>
              <w:rPr>
                <w:rFonts w:cs="Calibri"/>
                <w:b/>
                <w:sz w:val="24"/>
                <w:szCs w:val="24"/>
              </w:rPr>
              <w:t>Gourma-Rharous ADRA-MALI</w:t>
            </w:r>
          </w:p>
          <w:p>
            <w:pPr>
              <w:pStyle w:val="style0"/>
              <w:jc w:val="both"/>
              <w:rPr>
                <w:rFonts w:cs="Calibri"/>
                <w:b/>
                <w:sz w:val="28"/>
                <w:szCs w:val="28"/>
              </w:rPr>
            </w:pPr>
          </w:p>
          <w:p>
            <w:pPr>
              <w:pStyle w:val="style0"/>
              <w:jc w:val="both"/>
              <w:rPr>
                <w:rFonts w:cs="Calibri"/>
                <w:b/>
                <w:sz w:val="28"/>
                <w:szCs w:val="28"/>
              </w:rPr>
            </w:pPr>
          </w:p>
          <w:p>
            <w:pPr>
              <w:pStyle w:val="style0"/>
              <w:jc w:val="both"/>
              <w:rPr>
                <w:rFonts w:cs="Calibri"/>
                <w:b/>
                <w:sz w:val="28"/>
                <w:szCs w:val="28"/>
              </w:rPr>
            </w:pPr>
          </w:p>
        </w:tc>
        <w:tc>
          <w:tcPr>
            <w:tcW w:w="1620" w:type="dxa"/>
            <w:tcBorders/>
          </w:tcPr>
          <w:p>
            <w:pPr>
              <w:pStyle w:val="style0"/>
              <w:jc w:val="both"/>
              <w:rPr>
                <w:rFonts w:cs="Calibri"/>
                <w:b/>
                <w:sz w:val="24"/>
                <w:szCs w:val="24"/>
              </w:rPr>
            </w:pPr>
            <w:r>
              <w:rPr>
                <w:rFonts w:cs="Calibri"/>
                <w:b/>
                <w:sz w:val="24"/>
                <w:szCs w:val="24"/>
              </w:rPr>
              <w:t>Du 1</w:t>
            </w:r>
            <w:r>
              <w:rPr>
                <w:rFonts w:cs="Calibri"/>
                <w:b/>
                <w:sz w:val="24"/>
                <w:szCs w:val="24"/>
                <w:vertAlign w:val="superscript"/>
              </w:rPr>
              <w:t>er</w:t>
            </w:r>
            <w:r>
              <w:rPr>
                <w:rFonts w:cs="Calibri"/>
                <w:b/>
                <w:sz w:val="24"/>
                <w:szCs w:val="24"/>
                <w:vertAlign w:val="superscript"/>
              </w:rPr>
              <w:t xml:space="preserve"> </w:t>
            </w:r>
            <w:r>
              <w:rPr>
                <w:rFonts w:cs="Calibri"/>
                <w:b/>
                <w:sz w:val="24"/>
                <w:szCs w:val="24"/>
              </w:rPr>
              <w:t xml:space="preserve">Juin 2020 </w:t>
            </w:r>
            <w:r>
              <w:rPr>
                <w:rFonts w:cs="Calibri"/>
                <w:b/>
                <w:sz w:val="24"/>
                <w:szCs w:val="24"/>
              </w:rPr>
              <w:t>au 28 février 2022</w:t>
            </w:r>
          </w:p>
        </w:tc>
        <w:tc>
          <w:tcPr>
            <w:tcW w:w="6783" w:type="dxa"/>
            <w:tcBorders/>
          </w:tcPr>
          <w:p>
            <w:pPr>
              <w:pStyle w:val="style0"/>
              <w:jc w:val="both"/>
              <w:rPr>
                <w:rFonts w:cs="Calibri"/>
                <w:b/>
                <w:sz w:val="24"/>
                <w:szCs w:val="24"/>
              </w:rPr>
            </w:pPr>
            <w:r>
              <w:rPr>
                <w:rFonts w:cs="Calibri"/>
                <w:b/>
                <w:sz w:val="24"/>
                <w:szCs w:val="24"/>
              </w:rPr>
              <w:t>Officier</w:t>
            </w:r>
            <w:r>
              <w:rPr>
                <w:rFonts w:cs="Calibri"/>
                <w:b/>
                <w:sz w:val="24"/>
                <w:szCs w:val="24"/>
              </w:rPr>
              <w:t xml:space="preserve"> protection de l’enfant :</w:t>
            </w:r>
          </w:p>
          <w:p>
            <w:pPr>
              <w:pStyle w:val="style0"/>
              <w:widowControl w:val="false"/>
              <w:numPr>
                <w:ilvl w:val="0"/>
                <w:numId w:val="34"/>
              </w:numPr>
              <w:suppressAutoHyphens/>
              <w:rPr>
                <w:rFonts w:cs="Calibri"/>
                <w:sz w:val="24"/>
                <w:szCs w:val="24"/>
              </w:rPr>
            </w:pPr>
            <w:r>
              <w:rPr>
                <w:rFonts w:cs="Calibri"/>
                <w:sz w:val="24"/>
                <w:szCs w:val="24"/>
              </w:rPr>
              <w:t>Maintenir le contact avec les autorités Administratives et locales de son lieu de travail ;</w:t>
            </w:r>
          </w:p>
          <w:p>
            <w:pPr>
              <w:pStyle w:val="style0"/>
              <w:widowControl w:val="false"/>
              <w:numPr>
                <w:ilvl w:val="0"/>
                <w:numId w:val="34"/>
              </w:numPr>
              <w:suppressAutoHyphens/>
              <w:rPr>
                <w:rFonts w:cs="Calibri"/>
                <w:sz w:val="24"/>
                <w:szCs w:val="24"/>
              </w:rPr>
            </w:pPr>
            <w:r>
              <w:rPr>
                <w:rFonts w:cs="Calibri"/>
                <w:sz w:val="24"/>
                <w:szCs w:val="24"/>
              </w:rPr>
              <w:t xml:space="preserve">Assurer l’exécution des plans d’activités du projet selon le chronogramme établi par le Chef de Projet. </w:t>
            </w:r>
          </w:p>
          <w:p>
            <w:pPr>
              <w:pStyle w:val="style0"/>
              <w:widowControl w:val="false"/>
              <w:numPr>
                <w:ilvl w:val="0"/>
                <w:numId w:val="34"/>
              </w:numPr>
              <w:suppressAutoHyphens/>
              <w:rPr>
                <w:rFonts w:cs="Calibri"/>
                <w:sz w:val="24"/>
                <w:szCs w:val="24"/>
              </w:rPr>
            </w:pPr>
            <w:r>
              <w:rPr>
                <w:rFonts w:cs="Calibri"/>
                <w:sz w:val="24"/>
                <w:szCs w:val="24"/>
              </w:rPr>
              <w:t xml:space="preserve">Participer aux activités de distributions des biens destinés aux bénéficiaires ; </w:t>
            </w:r>
          </w:p>
          <w:p>
            <w:pPr>
              <w:pStyle w:val="style0"/>
              <w:widowControl w:val="false"/>
              <w:numPr>
                <w:ilvl w:val="0"/>
                <w:numId w:val="34"/>
              </w:numPr>
              <w:suppressAutoHyphens/>
              <w:rPr>
                <w:rFonts w:cs="Calibri"/>
                <w:sz w:val="24"/>
                <w:szCs w:val="24"/>
              </w:rPr>
            </w:pPr>
            <w:r>
              <w:rPr>
                <w:rFonts w:cs="Calibri"/>
                <w:sz w:val="24"/>
                <w:szCs w:val="24"/>
              </w:rPr>
              <w:t>Planifier ses activités selon le chronogramme de la proposition du projet avec le Chef de projet ;</w:t>
            </w:r>
          </w:p>
          <w:p>
            <w:pPr>
              <w:pStyle w:val="style0"/>
              <w:widowControl w:val="false"/>
              <w:numPr>
                <w:ilvl w:val="0"/>
                <w:numId w:val="34"/>
              </w:numPr>
              <w:suppressAutoHyphens/>
              <w:rPr>
                <w:rFonts w:cs="Calibri"/>
                <w:sz w:val="24"/>
                <w:szCs w:val="24"/>
              </w:rPr>
            </w:pPr>
            <w:r>
              <w:rPr>
                <w:rFonts w:cs="Calibri"/>
                <w:sz w:val="24"/>
                <w:szCs w:val="24"/>
              </w:rPr>
              <w:t>Réaliser des activités de sensibilisation dans les villages du projet ;</w:t>
            </w:r>
          </w:p>
          <w:p>
            <w:pPr>
              <w:pStyle w:val="style0"/>
              <w:widowControl w:val="false"/>
              <w:numPr>
                <w:ilvl w:val="0"/>
                <w:numId w:val="34"/>
              </w:numPr>
              <w:suppressAutoHyphens/>
              <w:rPr>
                <w:rFonts w:cs="Calibri"/>
                <w:sz w:val="24"/>
                <w:szCs w:val="24"/>
              </w:rPr>
            </w:pPr>
            <w:r>
              <w:rPr>
                <w:rFonts w:cs="Calibri"/>
                <w:sz w:val="24"/>
                <w:szCs w:val="24"/>
              </w:rPr>
              <w:t>Appuyer dans l’organisation des formations des membres des CGS, APE, AME….</w:t>
            </w:r>
          </w:p>
          <w:p>
            <w:pPr>
              <w:pStyle w:val="style0"/>
              <w:widowControl w:val="false"/>
              <w:numPr>
                <w:ilvl w:val="0"/>
                <w:numId w:val="34"/>
              </w:numPr>
              <w:suppressAutoHyphens/>
              <w:rPr>
                <w:rFonts w:cs="Calibri"/>
                <w:sz w:val="24"/>
                <w:szCs w:val="24"/>
              </w:rPr>
            </w:pPr>
            <w:r>
              <w:rPr>
                <w:rFonts w:cs="Calibri"/>
                <w:sz w:val="24"/>
                <w:szCs w:val="24"/>
              </w:rPr>
              <w:t xml:space="preserve">Assister le CAP dans le suivi des enseignements donnés dans les écoles partenaires du projet ; </w:t>
            </w:r>
          </w:p>
          <w:p>
            <w:pPr>
              <w:pStyle w:val="style0"/>
              <w:widowControl w:val="false"/>
              <w:numPr>
                <w:ilvl w:val="0"/>
                <w:numId w:val="34"/>
              </w:numPr>
              <w:suppressAutoHyphens/>
              <w:rPr>
                <w:rFonts w:cs="Calibri"/>
                <w:sz w:val="24"/>
                <w:szCs w:val="24"/>
              </w:rPr>
            </w:pPr>
            <w:r>
              <w:rPr>
                <w:rFonts w:cs="Calibri"/>
                <w:sz w:val="24"/>
                <w:szCs w:val="24"/>
              </w:rPr>
              <w:t>Produire des rapports d’activités au Chef de Projet ;</w:t>
            </w:r>
          </w:p>
          <w:p>
            <w:pPr>
              <w:pStyle w:val="style0"/>
              <w:widowControl w:val="false"/>
              <w:numPr>
                <w:ilvl w:val="0"/>
                <w:numId w:val="34"/>
              </w:numPr>
              <w:suppressAutoHyphens/>
              <w:rPr>
                <w:rFonts w:cs="Calibri"/>
                <w:sz w:val="24"/>
                <w:szCs w:val="24"/>
              </w:rPr>
            </w:pPr>
            <w:r>
              <w:rPr>
                <w:rFonts w:cs="Calibri"/>
                <w:sz w:val="24"/>
                <w:szCs w:val="24"/>
              </w:rPr>
              <w:t>Identifier les enfants non scolarisés ;</w:t>
            </w:r>
          </w:p>
          <w:p>
            <w:pPr>
              <w:pStyle w:val="style0"/>
              <w:widowControl w:val="false"/>
              <w:numPr>
                <w:ilvl w:val="0"/>
                <w:numId w:val="34"/>
              </w:numPr>
              <w:suppressAutoHyphens/>
              <w:rPr>
                <w:rFonts w:cs="Calibri"/>
                <w:sz w:val="24"/>
                <w:szCs w:val="24"/>
              </w:rPr>
            </w:pPr>
            <w:r>
              <w:rPr>
                <w:rFonts w:cs="Calibri"/>
                <w:sz w:val="24"/>
                <w:szCs w:val="24"/>
              </w:rPr>
              <w:t xml:space="preserve">Orientation des enfants nécessitant de l’assistance ;  </w:t>
            </w:r>
          </w:p>
          <w:p>
            <w:pPr>
              <w:pStyle w:val="style0"/>
              <w:widowControl w:val="false"/>
              <w:numPr>
                <w:ilvl w:val="0"/>
                <w:numId w:val="34"/>
              </w:numPr>
              <w:suppressAutoHyphens/>
              <w:rPr>
                <w:rFonts w:cs="Calibri"/>
                <w:sz w:val="24"/>
                <w:szCs w:val="24"/>
              </w:rPr>
            </w:pPr>
            <w:r>
              <w:rPr>
                <w:rFonts w:cs="Calibri"/>
                <w:sz w:val="24"/>
                <w:szCs w:val="24"/>
              </w:rPr>
              <w:t>Superviser les animateurs dans leur travail ;</w:t>
            </w:r>
          </w:p>
          <w:p>
            <w:pPr>
              <w:pStyle w:val="style0"/>
              <w:widowControl w:val="false"/>
              <w:numPr>
                <w:ilvl w:val="0"/>
                <w:numId w:val="34"/>
              </w:numPr>
              <w:suppressAutoHyphens/>
              <w:rPr>
                <w:rFonts w:cs="Calibri"/>
                <w:sz w:val="24"/>
                <w:szCs w:val="24"/>
              </w:rPr>
            </w:pPr>
            <w:r>
              <w:rPr>
                <w:rFonts w:cs="Calibri"/>
                <w:sz w:val="24"/>
                <w:szCs w:val="24"/>
              </w:rPr>
              <w:t xml:space="preserve">Identifier les défis sur terrain liés à la réalisation du projet, suggérer des solutions et rapporter au chef de projet ; </w:t>
            </w:r>
          </w:p>
          <w:p>
            <w:pPr>
              <w:pStyle w:val="style0"/>
              <w:numPr>
                <w:ilvl w:val="0"/>
                <w:numId w:val="32"/>
              </w:numPr>
              <w:suppressAutoHyphens/>
              <w:jc w:val="both"/>
              <w:rPr>
                <w:rFonts w:cs="Calibri"/>
                <w:sz w:val="24"/>
                <w:szCs w:val="24"/>
              </w:rPr>
            </w:pPr>
            <w:r>
              <w:rPr>
                <w:rFonts w:cs="Calibri"/>
                <w:sz w:val="24"/>
                <w:szCs w:val="24"/>
              </w:rPr>
              <w:t>Suivre la sécurité sur son lieu de travail et rapporter les incidents sécuritaires au chef de projet ;</w:t>
            </w:r>
          </w:p>
          <w:p>
            <w:pPr>
              <w:pStyle w:val="style0"/>
              <w:numPr>
                <w:ilvl w:val="0"/>
                <w:numId w:val="32"/>
              </w:numPr>
              <w:suppressAutoHyphens/>
              <w:jc w:val="both"/>
              <w:rPr>
                <w:rFonts w:cs="Calibri"/>
                <w:sz w:val="24"/>
                <w:szCs w:val="24"/>
              </w:rPr>
            </w:pPr>
            <w:r>
              <w:rPr>
                <w:rFonts w:cs="Calibri"/>
                <w:sz w:val="24"/>
                <w:szCs w:val="24"/>
              </w:rPr>
              <w:t>Assurer les demandes d’achats selon les procédures d’ADRA Mali</w:t>
            </w:r>
          </w:p>
          <w:p>
            <w:pPr>
              <w:pStyle w:val="style0"/>
              <w:numPr>
                <w:ilvl w:val="0"/>
                <w:numId w:val="32"/>
              </w:numPr>
              <w:suppressAutoHyphens/>
              <w:jc w:val="both"/>
              <w:rPr>
                <w:rFonts w:cs="Calibri"/>
                <w:sz w:val="24"/>
                <w:szCs w:val="24"/>
              </w:rPr>
            </w:pPr>
            <w:r>
              <w:rPr>
                <w:rFonts w:cs="Calibri"/>
                <w:sz w:val="24"/>
                <w:szCs w:val="24"/>
              </w:rPr>
              <w:t>Maintenir son espace de travail propre et méthodique.</w:t>
            </w:r>
          </w:p>
          <w:p>
            <w:pPr>
              <w:pStyle w:val="style0"/>
              <w:numPr>
                <w:ilvl w:val="0"/>
                <w:numId w:val="32"/>
              </w:numPr>
              <w:suppressAutoHyphens/>
              <w:jc w:val="both"/>
              <w:rPr>
                <w:rFonts w:cs="Calibri"/>
                <w:sz w:val="24"/>
                <w:szCs w:val="24"/>
              </w:rPr>
            </w:pPr>
            <w:r>
              <w:rPr>
                <w:rFonts w:cs="Calibri"/>
                <w:sz w:val="24"/>
                <w:szCs w:val="24"/>
              </w:rPr>
              <w:t>S'assurer que tous les visiteurs sont traités avec respect, politesse et conserver une bonne impression d'ADRA.</w:t>
            </w:r>
          </w:p>
          <w:p>
            <w:pPr>
              <w:pStyle w:val="style0"/>
              <w:numPr>
                <w:ilvl w:val="0"/>
                <w:numId w:val="33"/>
              </w:numPr>
              <w:suppressAutoHyphens/>
              <w:jc w:val="both"/>
              <w:rPr>
                <w:rFonts w:cs="Calibri"/>
                <w:sz w:val="24"/>
                <w:szCs w:val="24"/>
              </w:rPr>
            </w:pPr>
            <w:r>
              <w:rPr>
                <w:rFonts w:cs="Calibri"/>
                <w:sz w:val="24"/>
                <w:szCs w:val="24"/>
              </w:rPr>
              <w:t xml:space="preserve">S'assurer qu'une communication interpersonnelle effective et positive entre les membres de l'équipe se produit ; </w:t>
            </w:r>
          </w:p>
          <w:p>
            <w:pPr>
              <w:pStyle w:val="style0"/>
              <w:numPr>
                <w:ilvl w:val="0"/>
                <w:numId w:val="33"/>
              </w:numPr>
              <w:suppressAutoHyphens/>
              <w:jc w:val="both"/>
              <w:rPr>
                <w:rFonts w:cs="Calibri"/>
                <w:sz w:val="24"/>
                <w:szCs w:val="24"/>
              </w:rPr>
            </w:pPr>
            <w:r>
              <w:rPr>
                <w:rFonts w:cs="Calibri"/>
                <w:sz w:val="24"/>
                <w:szCs w:val="24"/>
              </w:rPr>
              <w:t>Maintenir de bonnes relations de travail en fournissant un appui de haute qualité à tous les membres de l'équipe.</w:t>
            </w:r>
          </w:p>
          <w:p>
            <w:pPr>
              <w:pStyle w:val="style0"/>
              <w:numPr>
                <w:ilvl w:val="0"/>
                <w:numId w:val="33"/>
              </w:numPr>
              <w:suppressAutoHyphens/>
              <w:jc w:val="both"/>
              <w:rPr>
                <w:rFonts w:cs="Calibri"/>
                <w:sz w:val="24"/>
                <w:szCs w:val="24"/>
              </w:rPr>
            </w:pPr>
            <w:r>
              <w:rPr>
                <w:rFonts w:cs="Calibri"/>
                <w:sz w:val="24"/>
                <w:szCs w:val="24"/>
              </w:rPr>
              <w:t>Maintenir à toute heure une attitude serviable, amicale et professionnelle, et être disposé à intervenir selon le besoin.</w:t>
            </w:r>
          </w:p>
          <w:p>
            <w:pPr>
              <w:pStyle w:val="style0"/>
              <w:numPr>
                <w:ilvl w:val="0"/>
                <w:numId w:val="33"/>
              </w:numPr>
              <w:suppressAutoHyphens/>
              <w:jc w:val="both"/>
              <w:rPr>
                <w:rFonts w:cs="Calibri"/>
                <w:sz w:val="24"/>
                <w:szCs w:val="24"/>
              </w:rPr>
            </w:pPr>
            <w:r>
              <w:rPr>
                <w:rFonts w:cs="Calibri"/>
                <w:sz w:val="24"/>
                <w:szCs w:val="24"/>
              </w:rPr>
              <w:t xml:space="preserve">Présence aux réunions des activités du personnel d'ADRA. </w:t>
            </w:r>
          </w:p>
          <w:p>
            <w:pPr>
              <w:pStyle w:val="style0"/>
              <w:numPr>
                <w:ilvl w:val="0"/>
                <w:numId w:val="33"/>
              </w:numPr>
              <w:suppressAutoHyphens/>
              <w:jc w:val="both"/>
              <w:rPr>
                <w:rFonts w:cs="Calibri"/>
                <w:sz w:val="24"/>
                <w:szCs w:val="24"/>
              </w:rPr>
            </w:pPr>
            <w:r>
              <w:rPr>
                <w:rFonts w:cs="Calibri" w:eastAsia="MingLiU"/>
                <w:sz w:val="24"/>
                <w:szCs w:val="24"/>
                <w:lang w:eastAsia="fr-FR"/>
              </w:rPr>
              <w:t>Se protéger soi-même, les autres employés, les bénéficiaires et toutes les autres parties prenantes en exerçant ses fonctions d'employé d'ADRA Mali même en dehors des heures de travail ;</w:t>
            </w:r>
          </w:p>
          <w:p>
            <w:pPr>
              <w:pStyle w:val="style0"/>
              <w:numPr>
                <w:ilvl w:val="0"/>
                <w:numId w:val="33"/>
              </w:numPr>
              <w:suppressAutoHyphens/>
              <w:rPr>
                <w:rFonts w:cs="Calibri"/>
                <w:sz w:val="24"/>
                <w:szCs w:val="24"/>
              </w:rPr>
            </w:pPr>
            <w:r>
              <w:rPr>
                <w:rFonts w:cs="Calibri"/>
                <w:sz w:val="24"/>
                <w:szCs w:val="24"/>
              </w:rPr>
              <w:t>Accomplir d'autres tâches, telles qu’attribuées par le chef de projet.</w:t>
            </w:r>
          </w:p>
        </w:tc>
      </w:tr>
      <w:tr>
        <w:tblPrEx/>
        <w:trPr>
          <w:trHeight w:val="149" w:hRule="atLeast"/>
        </w:trPr>
        <w:tc>
          <w:tcPr>
            <w:tcW w:w="1956" w:type="dxa"/>
            <w:tcBorders/>
          </w:tcPr>
          <w:p>
            <w:pPr>
              <w:pStyle w:val="style0"/>
              <w:rPr>
                <w:rFonts w:cs="Calibri"/>
                <w:b/>
                <w:sz w:val="24"/>
                <w:szCs w:val="24"/>
              </w:rPr>
            </w:pPr>
            <w:r>
              <w:rPr>
                <w:rFonts w:cs="Calibri"/>
                <w:b/>
                <w:sz w:val="24"/>
                <w:szCs w:val="24"/>
              </w:rPr>
              <w:t>Gourma-</w:t>
            </w:r>
            <w:r>
              <w:rPr>
                <w:rFonts w:cs="Calibri"/>
                <w:b/>
                <w:sz w:val="24"/>
                <w:szCs w:val="24"/>
              </w:rPr>
              <w:t>R</w:t>
            </w:r>
            <w:r>
              <w:rPr>
                <w:rFonts w:cs="Calibri"/>
                <w:b/>
                <w:sz w:val="24"/>
                <w:szCs w:val="24"/>
              </w:rPr>
              <w:t xml:space="preserve">harous </w:t>
            </w:r>
            <w:r>
              <w:rPr>
                <w:rFonts w:cs="Calibri"/>
                <w:b/>
                <w:sz w:val="24"/>
                <w:szCs w:val="24"/>
              </w:rPr>
              <w:t>GARDL (</w:t>
            </w:r>
            <w:r>
              <w:rPr>
                <w:rFonts w:cs="Calibri"/>
                <w:b/>
                <w:sz w:val="24"/>
                <w:szCs w:val="24"/>
              </w:rPr>
              <w:t xml:space="preserve">Groupe Action Recherche pour le </w:t>
            </w:r>
            <w:r>
              <w:rPr>
                <w:rFonts w:cs="Calibri"/>
                <w:b/>
                <w:sz w:val="24"/>
                <w:szCs w:val="24"/>
              </w:rPr>
              <w:t>Développement Local</w:t>
            </w:r>
          </w:p>
        </w:tc>
        <w:tc>
          <w:tcPr>
            <w:tcW w:w="1620" w:type="dxa"/>
            <w:tcBorders/>
          </w:tcPr>
          <w:p>
            <w:pPr>
              <w:pStyle w:val="style0"/>
              <w:jc w:val="both"/>
              <w:rPr>
                <w:rFonts w:cs="Calibri"/>
                <w:b/>
                <w:sz w:val="28"/>
                <w:szCs w:val="28"/>
              </w:rPr>
            </w:pPr>
            <w:r>
              <w:rPr>
                <w:rFonts w:cs="Calibri"/>
                <w:b/>
                <w:sz w:val="28"/>
                <w:szCs w:val="28"/>
              </w:rPr>
              <w:t>Du 1</w:t>
            </w:r>
            <w:r>
              <w:rPr>
                <w:rFonts w:cs="Calibri"/>
                <w:b/>
                <w:sz w:val="28"/>
                <w:szCs w:val="28"/>
                <w:vertAlign w:val="superscript"/>
              </w:rPr>
              <w:t>er</w:t>
            </w:r>
            <w:r>
              <w:rPr>
                <w:rFonts w:cs="Calibri"/>
                <w:b/>
                <w:sz w:val="28"/>
                <w:szCs w:val="28"/>
              </w:rPr>
              <w:t xml:space="preserve"> janvier 2020 à </w:t>
            </w:r>
            <w:r>
              <w:rPr>
                <w:rFonts w:cs="Calibri"/>
                <w:b/>
                <w:sz w:val="28"/>
                <w:szCs w:val="28"/>
              </w:rPr>
              <w:t>31 mai 2020</w:t>
            </w:r>
          </w:p>
        </w:tc>
        <w:tc>
          <w:tcPr>
            <w:tcW w:w="6783" w:type="dxa"/>
            <w:tcBorders/>
          </w:tcPr>
          <w:p>
            <w:pPr>
              <w:pStyle w:val="style0"/>
              <w:jc w:val="both"/>
              <w:rPr>
                <w:rFonts w:cs="Calibri"/>
                <w:b/>
                <w:sz w:val="28"/>
                <w:szCs w:val="28"/>
              </w:rPr>
            </w:pPr>
            <w:r>
              <w:rPr>
                <w:rFonts w:cs="Calibri"/>
                <w:b/>
                <w:sz w:val="28"/>
                <w:szCs w:val="28"/>
              </w:rPr>
              <w:t xml:space="preserve">Protection Contre les Violences Physiques et Sexuels les des enfants : </w:t>
            </w:r>
          </w:p>
          <w:p>
            <w:pPr>
              <w:pStyle w:val="style179"/>
              <w:jc w:val="both"/>
              <w:rPr>
                <w:rFonts w:cs="Calibri"/>
                <w:b/>
                <w:sz w:val="28"/>
                <w:szCs w:val="28"/>
              </w:rPr>
            </w:pPr>
            <w:r>
              <w:rPr>
                <w:rFonts w:cs="Calibri"/>
                <w:b/>
                <w:sz w:val="28"/>
                <w:szCs w:val="28"/>
              </w:rPr>
              <w:t>Gestionnaire des Cas :</w:t>
            </w:r>
          </w:p>
          <w:p>
            <w:pPr>
              <w:pStyle w:val="style179"/>
              <w:numPr>
                <w:ilvl w:val="0"/>
                <w:numId w:val="1"/>
              </w:numPr>
              <w:rPr>
                <w:rFonts w:cs="Calibri"/>
                <w:sz w:val="24"/>
                <w:szCs w:val="24"/>
              </w:rPr>
            </w:pPr>
            <w:r>
              <w:rPr>
                <w:rFonts w:cs="Calibri"/>
                <w:sz w:val="24"/>
                <w:szCs w:val="24"/>
              </w:rPr>
              <w:t xml:space="preserve">chargé de l’identification et la prise en charge </w:t>
            </w:r>
            <w:r>
              <w:rPr>
                <w:rFonts w:cs="Calibri"/>
                <w:sz w:val="24"/>
                <w:szCs w:val="24"/>
              </w:rPr>
              <w:t>medicopsychosociale</w:t>
            </w:r>
            <w:r>
              <w:rPr>
                <w:rFonts w:cs="Calibri"/>
                <w:sz w:val="24"/>
                <w:szCs w:val="24"/>
              </w:rPr>
              <w:t xml:space="preserve">  et juridique des cas dans les communes et villages/sites, en collaboration directe avec les animateurs et points focaux et communautés</w:t>
            </w:r>
            <w:r>
              <w:rPr>
                <w:rFonts w:cs="Calibri"/>
                <w:sz w:val="24"/>
                <w:szCs w:val="24"/>
              </w:rPr>
              <w:t>.</w:t>
            </w:r>
          </w:p>
          <w:p>
            <w:pPr>
              <w:pStyle w:val="style179"/>
              <w:numPr>
                <w:ilvl w:val="0"/>
                <w:numId w:val="1"/>
              </w:numPr>
              <w:rPr>
                <w:rFonts w:cs="Calibri"/>
                <w:sz w:val="24"/>
                <w:szCs w:val="24"/>
              </w:rPr>
            </w:pPr>
            <w:r>
              <w:rPr>
                <w:rFonts w:cs="Calibri"/>
                <w:sz w:val="24"/>
                <w:szCs w:val="24"/>
              </w:rPr>
              <w:t>-</w:t>
            </w:r>
            <w:r>
              <w:rPr>
                <w:rFonts w:cs="Calibri"/>
                <w:sz w:val="24"/>
                <w:szCs w:val="24"/>
              </w:rPr>
              <w:tab/>
            </w:r>
            <w:r>
              <w:rPr>
                <w:rFonts w:cs="Calibri"/>
                <w:sz w:val="24"/>
                <w:szCs w:val="24"/>
              </w:rPr>
              <w:t>La fourniture de mesures de soutien psychosocial, émotionnel, et spirituel pour les enfants vulnérables à travers l’orientation et le référencement vers les services appropriés soit au niveau du développement social pour l’appui psychosocial ou le Csref pour la prise en charge médicale.</w:t>
            </w:r>
          </w:p>
          <w:p>
            <w:pPr>
              <w:pStyle w:val="style179"/>
              <w:numPr>
                <w:ilvl w:val="0"/>
                <w:numId w:val="1"/>
              </w:numPr>
              <w:rPr>
                <w:rFonts w:cs="Calibri"/>
                <w:b/>
                <w:sz w:val="28"/>
                <w:szCs w:val="28"/>
              </w:rPr>
            </w:pPr>
            <w:r>
              <w:rPr>
                <w:rFonts w:cs="Calibri"/>
                <w:sz w:val="24"/>
                <w:szCs w:val="24"/>
              </w:rPr>
              <w:t>Fait le suivi des cas identifiés jusqu’à la fermeture des dossiers</w:t>
            </w:r>
            <w:r>
              <w:rPr>
                <w:rFonts w:cs="Calibri"/>
                <w:b/>
                <w:sz w:val="28"/>
                <w:szCs w:val="28"/>
              </w:rPr>
              <w:t>.</w:t>
            </w:r>
          </w:p>
        </w:tc>
      </w:tr>
      <w:tr>
        <w:tblPrEx/>
        <w:trPr>
          <w:trHeight w:val="149" w:hRule="atLeast"/>
        </w:trPr>
        <w:tc>
          <w:tcPr>
            <w:tcW w:w="1956" w:type="dxa"/>
            <w:tcBorders/>
          </w:tcPr>
          <w:p>
            <w:pPr>
              <w:pStyle w:val="style0"/>
              <w:rPr>
                <w:rFonts w:cs="Calibri"/>
                <w:b/>
                <w:sz w:val="28"/>
                <w:szCs w:val="28"/>
              </w:rPr>
            </w:pPr>
            <w:r>
              <w:rPr>
                <w:rFonts w:cs="Calibri"/>
                <w:b/>
                <w:sz w:val="24"/>
                <w:szCs w:val="24"/>
              </w:rPr>
              <w:t>Tombouctou AEDT (Aide a</w:t>
            </w:r>
            <w:r>
              <w:rPr>
                <w:rFonts w:cs="Calibri"/>
                <w:b/>
                <w:sz w:val="24"/>
                <w:szCs w:val="24"/>
              </w:rPr>
              <w:t>ux Enfants Démunis de Tomboucto</w:t>
            </w:r>
            <w:r>
              <w:rPr>
                <w:rFonts w:cs="Calibri"/>
                <w:b/>
                <w:sz w:val="24"/>
                <w:szCs w:val="24"/>
              </w:rPr>
              <w:t>u</w:t>
            </w:r>
          </w:p>
        </w:tc>
        <w:tc>
          <w:tcPr>
            <w:tcW w:w="1620" w:type="dxa"/>
            <w:tcBorders/>
          </w:tcPr>
          <w:p>
            <w:pPr>
              <w:pStyle w:val="style0"/>
              <w:rPr>
                <w:rFonts w:cs="Calibri"/>
                <w:b/>
                <w:sz w:val="24"/>
                <w:szCs w:val="24"/>
              </w:rPr>
            </w:pPr>
            <w:r>
              <w:rPr>
                <w:rFonts w:cs="Calibri"/>
                <w:b/>
                <w:sz w:val="24"/>
                <w:szCs w:val="24"/>
              </w:rPr>
              <w:t>Du 25 Juillet 2018 au 31/12/2019</w:t>
            </w:r>
          </w:p>
        </w:tc>
        <w:tc>
          <w:tcPr>
            <w:tcW w:w="6783" w:type="dxa"/>
            <w:tcBorders/>
          </w:tcPr>
          <w:p>
            <w:pPr>
              <w:pStyle w:val="style179"/>
              <w:numPr>
                <w:ilvl w:val="0"/>
                <w:numId w:val="1"/>
              </w:numPr>
              <w:rPr>
                <w:rFonts w:cs="Calibri"/>
                <w:b/>
                <w:sz w:val="28"/>
                <w:szCs w:val="28"/>
              </w:rPr>
            </w:pPr>
            <w:r>
              <w:rPr>
                <w:rFonts w:cs="Calibri"/>
                <w:b/>
                <w:sz w:val="24"/>
                <w:szCs w:val="24"/>
              </w:rPr>
              <w:t xml:space="preserve">Assistant protection des enfants </w:t>
            </w:r>
            <w:r>
              <w:rPr>
                <w:rFonts w:cs="Calibri"/>
                <w:b/>
                <w:sz w:val="24"/>
                <w:szCs w:val="24"/>
              </w:rPr>
              <w:t>démunis</w:t>
            </w:r>
            <w:r>
              <w:rPr>
                <w:rFonts w:cs="Calibri"/>
                <w:b/>
                <w:sz w:val="28"/>
                <w:szCs w:val="28"/>
              </w:rPr>
              <w:t> :</w:t>
            </w:r>
          </w:p>
          <w:p>
            <w:pPr>
              <w:pStyle w:val="style179"/>
              <w:numPr>
                <w:ilvl w:val="0"/>
                <w:numId w:val="1"/>
              </w:numPr>
              <w:rPr>
                <w:rFonts w:cs="Calibri"/>
                <w:sz w:val="24"/>
                <w:szCs w:val="24"/>
              </w:rPr>
            </w:pPr>
            <w:r>
              <w:rPr>
                <w:rFonts w:cs="Calibri"/>
                <w:sz w:val="24"/>
                <w:szCs w:val="24"/>
              </w:rPr>
              <w:t>Participer à la planification et à la mise en œuvre des activités sous la direction de superviseur protection avec l’accompagnement du chef de projet.</w:t>
            </w:r>
          </w:p>
          <w:p>
            <w:pPr>
              <w:pStyle w:val="style179"/>
              <w:numPr>
                <w:ilvl w:val="0"/>
                <w:numId w:val="1"/>
              </w:numPr>
              <w:rPr>
                <w:rFonts w:cs="Calibri"/>
                <w:sz w:val="24"/>
                <w:szCs w:val="24"/>
              </w:rPr>
            </w:pPr>
            <w:r>
              <w:rPr>
                <w:rFonts w:cs="Calibri"/>
                <w:sz w:val="24"/>
                <w:szCs w:val="24"/>
              </w:rPr>
              <w:t>Collaborer avec les agents du service local pour les renforcer dans l’accompagnement des enfants victimes dont les dossiers seront référés au service local, dans l’évaluation du niveau de risque de la situation de l’enfant, le degré d’urgence de la situation et le besoin de protection approprié ; l’élaboration du Plan d’Action Personnalisé ; mobilisation des acteurs, la mise en œuvre du plan d’action de l’enfant et le suivi de l’enfant et l’évaluation du plan d’action</w:t>
            </w:r>
          </w:p>
          <w:p>
            <w:pPr>
              <w:pStyle w:val="style179"/>
              <w:numPr>
                <w:ilvl w:val="0"/>
                <w:numId w:val="1"/>
              </w:numPr>
              <w:rPr>
                <w:rFonts w:cs="Calibri"/>
                <w:sz w:val="24"/>
                <w:szCs w:val="24"/>
              </w:rPr>
            </w:pPr>
            <w:r>
              <w:rPr>
                <w:rFonts w:cs="Calibri"/>
                <w:sz w:val="24"/>
                <w:szCs w:val="24"/>
              </w:rPr>
              <w:t>Faire le suivi des Plans d’Actions Individuels mis en place pour la prise en charge des enfants</w:t>
            </w:r>
          </w:p>
          <w:p>
            <w:pPr>
              <w:pStyle w:val="style179"/>
              <w:numPr>
                <w:ilvl w:val="0"/>
                <w:numId w:val="1"/>
              </w:numPr>
              <w:rPr>
                <w:rFonts w:cs="Calibri"/>
                <w:sz w:val="24"/>
                <w:szCs w:val="24"/>
              </w:rPr>
            </w:pPr>
            <w:r>
              <w:rPr>
                <w:rFonts w:cs="Calibri"/>
                <w:sz w:val="24"/>
                <w:szCs w:val="24"/>
              </w:rPr>
              <w:t xml:space="preserve">  Être une personne ressource en lien avec le processus national d’harmonisation de la gestion de cas</w:t>
            </w:r>
          </w:p>
          <w:p>
            <w:pPr>
              <w:pStyle w:val="style179"/>
              <w:numPr>
                <w:ilvl w:val="0"/>
                <w:numId w:val="1"/>
              </w:numPr>
              <w:rPr>
                <w:rFonts w:cs="Calibri"/>
                <w:sz w:val="24"/>
                <w:szCs w:val="24"/>
              </w:rPr>
            </w:pPr>
            <w:r>
              <w:rPr>
                <w:rFonts w:cs="Calibri"/>
                <w:sz w:val="24"/>
                <w:szCs w:val="24"/>
              </w:rPr>
              <w:t xml:space="preserve"> Elaborer les comptes rendus et les partager avec le Chef de projet   </w:t>
            </w:r>
          </w:p>
          <w:p>
            <w:pPr>
              <w:pStyle w:val="style179"/>
              <w:numPr>
                <w:ilvl w:val="0"/>
                <w:numId w:val="1"/>
              </w:numPr>
              <w:rPr>
                <w:rFonts w:cs="Calibri"/>
                <w:sz w:val="24"/>
                <w:szCs w:val="24"/>
              </w:rPr>
            </w:pPr>
            <w:r>
              <w:rPr>
                <w:rFonts w:cs="Calibri"/>
                <w:sz w:val="24"/>
                <w:szCs w:val="24"/>
              </w:rPr>
              <w:t xml:space="preserve"> Remonter toute information utile et pertinente au supérieur hiérarchique</w:t>
            </w:r>
          </w:p>
          <w:p>
            <w:pPr>
              <w:pStyle w:val="style179"/>
              <w:numPr>
                <w:ilvl w:val="0"/>
                <w:numId w:val="1"/>
              </w:numPr>
              <w:rPr>
                <w:rFonts w:cs="Calibri"/>
                <w:sz w:val="24"/>
                <w:szCs w:val="24"/>
              </w:rPr>
            </w:pPr>
            <w:r>
              <w:rPr>
                <w:rFonts w:cs="Calibri"/>
                <w:sz w:val="24"/>
                <w:szCs w:val="24"/>
              </w:rPr>
              <w:t>Développer et maintenir de bonnes relations et une communication constante avec les autorités locales et les partenaires communautaires impliqués dans la mise en œuvre du Projet</w:t>
            </w:r>
          </w:p>
          <w:p>
            <w:pPr>
              <w:pStyle w:val="style179"/>
              <w:numPr>
                <w:ilvl w:val="0"/>
                <w:numId w:val="1"/>
              </w:numPr>
              <w:rPr>
                <w:rFonts w:cs="Calibri"/>
                <w:sz w:val="28"/>
                <w:szCs w:val="28"/>
              </w:rPr>
            </w:pPr>
            <w:r>
              <w:rPr>
                <w:rFonts w:cs="Calibri"/>
                <w:sz w:val="24"/>
                <w:szCs w:val="24"/>
              </w:rPr>
              <w:t>Guider les enfants et leur famille tout au long du processus de gestion de cas (identification et enregistrement, évaluation, planification de la prise en charge, mise en œuvre du plan de prise en charge, suivi et revue, et clôture du dossier) conformément aux procédures opérationnelles standardisées</w:t>
            </w:r>
          </w:p>
        </w:tc>
      </w:tr>
      <w:tr>
        <w:tblPrEx/>
        <w:trPr>
          <w:trHeight w:val="149" w:hRule="atLeast"/>
        </w:trPr>
        <w:tc>
          <w:tcPr>
            <w:tcW w:w="1956" w:type="dxa"/>
            <w:tcBorders/>
          </w:tcPr>
          <w:p>
            <w:pPr>
              <w:pStyle w:val="style0"/>
              <w:rPr>
                <w:rFonts w:cs="Calibri"/>
                <w:b/>
                <w:sz w:val="24"/>
                <w:szCs w:val="24"/>
              </w:rPr>
            </w:pPr>
            <w:r>
              <w:rPr>
                <w:rFonts w:cs="Calibri"/>
                <w:b/>
                <w:sz w:val="24"/>
                <w:szCs w:val="24"/>
              </w:rPr>
              <w:t>Tombouctou Organisation Internationale pour les Migrations</w:t>
            </w:r>
          </w:p>
          <w:p>
            <w:pPr>
              <w:pStyle w:val="style0"/>
              <w:jc w:val="center"/>
              <w:rPr>
                <w:rFonts w:cs="Calibri"/>
                <w:sz w:val="28"/>
                <w:szCs w:val="28"/>
              </w:rPr>
            </w:pPr>
          </w:p>
        </w:tc>
        <w:tc>
          <w:tcPr>
            <w:tcW w:w="1620" w:type="dxa"/>
            <w:tcBorders/>
          </w:tcPr>
          <w:p>
            <w:pPr>
              <w:pStyle w:val="style0"/>
              <w:rPr>
                <w:rFonts w:cs="Calibri"/>
                <w:b/>
                <w:sz w:val="24"/>
                <w:szCs w:val="24"/>
              </w:rPr>
            </w:pPr>
            <w:r>
              <w:rPr>
                <w:rFonts w:cs="Calibri"/>
                <w:b/>
                <w:sz w:val="24"/>
                <w:szCs w:val="24"/>
              </w:rPr>
              <w:t>1</w:t>
            </w:r>
            <w:r>
              <w:rPr>
                <w:rFonts w:cs="Calibri"/>
                <w:b/>
                <w:sz w:val="24"/>
                <w:szCs w:val="24"/>
                <w:vertAlign w:val="superscript"/>
              </w:rPr>
              <w:t>er</w:t>
            </w:r>
            <w:r>
              <w:rPr>
                <w:rFonts w:cs="Calibri"/>
                <w:b/>
                <w:sz w:val="24"/>
                <w:szCs w:val="24"/>
              </w:rPr>
              <w:t xml:space="preserve">Juillet </w:t>
            </w:r>
            <w:r>
              <w:rPr>
                <w:rFonts w:cs="Calibri"/>
                <w:b/>
                <w:sz w:val="24"/>
                <w:szCs w:val="24"/>
              </w:rPr>
              <w:t>2017au 1</w:t>
            </w:r>
            <w:r>
              <w:rPr>
                <w:rFonts w:cs="Calibri"/>
                <w:b/>
                <w:sz w:val="24"/>
                <w:szCs w:val="24"/>
                <w:vertAlign w:val="superscript"/>
              </w:rPr>
              <w:t>er</w:t>
            </w:r>
            <w:r>
              <w:rPr>
                <w:rFonts w:cs="Calibri"/>
                <w:b/>
                <w:sz w:val="24"/>
                <w:szCs w:val="24"/>
              </w:rPr>
              <w:t xml:space="preserve"> Juillet</w:t>
            </w:r>
            <w:r>
              <w:rPr>
                <w:rFonts w:cs="Calibri"/>
                <w:b/>
                <w:sz w:val="24"/>
                <w:szCs w:val="24"/>
              </w:rPr>
              <w:t xml:space="preserve"> 20</w:t>
            </w:r>
            <w:r>
              <w:rPr>
                <w:rFonts w:cs="Calibri"/>
                <w:b/>
                <w:sz w:val="24"/>
                <w:szCs w:val="24"/>
              </w:rPr>
              <w:t>18</w:t>
            </w:r>
          </w:p>
          <w:p>
            <w:pPr>
              <w:pStyle w:val="style0"/>
              <w:jc w:val="both"/>
              <w:rPr>
                <w:rFonts w:cs="Calibri"/>
                <w:sz w:val="28"/>
                <w:szCs w:val="28"/>
              </w:rPr>
            </w:pPr>
          </w:p>
        </w:tc>
        <w:tc>
          <w:tcPr>
            <w:tcW w:w="6783" w:type="dxa"/>
            <w:tcBorders/>
          </w:tcPr>
          <w:p>
            <w:pPr>
              <w:pStyle w:val="style179"/>
              <w:numPr>
                <w:ilvl w:val="0"/>
                <w:numId w:val="6"/>
              </w:numPr>
              <w:rPr>
                <w:rFonts w:cs="Calibri"/>
                <w:sz w:val="24"/>
                <w:szCs w:val="24"/>
              </w:rPr>
            </w:pPr>
            <w:r>
              <w:rPr>
                <w:rFonts w:cs="Calibri"/>
                <w:b/>
                <w:sz w:val="24"/>
                <w:szCs w:val="24"/>
              </w:rPr>
              <w:t xml:space="preserve">Consultant chargé de la collecte des </w:t>
            </w:r>
            <w:r>
              <w:rPr>
                <w:rFonts w:cs="Calibri"/>
                <w:b/>
                <w:sz w:val="24"/>
                <w:szCs w:val="24"/>
              </w:rPr>
              <w:t>donnéesFMP</w:t>
            </w:r>
            <w:r>
              <w:rPr>
                <w:rFonts w:cs="Calibri"/>
                <w:sz w:val="24"/>
                <w:szCs w:val="24"/>
              </w:rPr>
              <w:t> : Chef d’équipe Flow Monitoring Point (suivi des migrants  et la prise en charge pour le rapatriement).</w:t>
            </w:r>
          </w:p>
          <w:p>
            <w:pPr>
              <w:pStyle w:val="style179"/>
              <w:numPr>
                <w:ilvl w:val="0"/>
                <w:numId w:val="6"/>
              </w:numPr>
              <w:rPr>
                <w:rFonts w:cs="Calibri"/>
                <w:sz w:val="24"/>
                <w:szCs w:val="24"/>
              </w:rPr>
            </w:pPr>
            <w:r>
              <w:rPr>
                <w:rFonts w:cs="Calibri"/>
                <w:sz w:val="24"/>
                <w:szCs w:val="24"/>
              </w:rPr>
              <w:t xml:space="preserve">Superviser la collecte régulière des données à travers les moniteurs et assurer leur qualité en les saisissants dans </w:t>
            </w:r>
            <w:r>
              <w:rPr>
                <w:rFonts w:cs="Calibri"/>
                <w:sz w:val="24"/>
                <w:szCs w:val="24"/>
              </w:rPr>
              <w:t xml:space="preserve">l’application </w:t>
            </w:r>
            <w:r>
              <w:rPr>
                <w:rFonts w:cs="Calibri"/>
                <w:b/>
                <w:sz w:val="24"/>
                <w:szCs w:val="24"/>
              </w:rPr>
              <w:t>ODK</w:t>
            </w:r>
          </w:p>
          <w:p>
            <w:pPr>
              <w:pStyle w:val="style179"/>
              <w:numPr>
                <w:ilvl w:val="0"/>
                <w:numId w:val="6"/>
              </w:numPr>
              <w:rPr>
                <w:rFonts w:cs="Calibri"/>
                <w:sz w:val="24"/>
                <w:szCs w:val="24"/>
              </w:rPr>
            </w:pPr>
            <w:r>
              <w:rPr>
                <w:rFonts w:cs="Calibri"/>
                <w:sz w:val="24"/>
                <w:szCs w:val="24"/>
              </w:rPr>
              <w:t>S’assurer que les données sont collectées quotidiennement.</w:t>
            </w:r>
          </w:p>
          <w:p>
            <w:pPr>
              <w:pStyle w:val="style179"/>
              <w:numPr>
                <w:ilvl w:val="0"/>
                <w:numId w:val="6"/>
              </w:numPr>
              <w:rPr>
                <w:rFonts w:cs="Calibri"/>
                <w:sz w:val="24"/>
                <w:szCs w:val="24"/>
              </w:rPr>
            </w:pPr>
            <w:r>
              <w:rPr>
                <w:rFonts w:cs="Calibri"/>
                <w:sz w:val="24"/>
                <w:szCs w:val="24"/>
              </w:rPr>
              <w:t>S’assurer que les agents portent les données sur les formulaires avant la saisie sur les tablettes.</w:t>
            </w:r>
          </w:p>
          <w:p>
            <w:pPr>
              <w:pStyle w:val="style179"/>
              <w:numPr>
                <w:ilvl w:val="0"/>
                <w:numId w:val="6"/>
              </w:numPr>
              <w:rPr>
                <w:rFonts w:cs="Calibri"/>
                <w:sz w:val="24"/>
                <w:szCs w:val="24"/>
              </w:rPr>
            </w:pPr>
            <w:r>
              <w:rPr>
                <w:rFonts w:cs="Calibri"/>
                <w:sz w:val="24"/>
                <w:szCs w:val="24"/>
              </w:rPr>
              <w:t>S’assurer de l’envoie quotidien  à l’équipe DTM après vérification.</w:t>
            </w:r>
          </w:p>
          <w:p>
            <w:pPr>
              <w:pStyle w:val="style179"/>
              <w:numPr>
                <w:ilvl w:val="0"/>
                <w:numId w:val="6"/>
              </w:numPr>
              <w:rPr>
                <w:rFonts w:cs="Calibri"/>
                <w:sz w:val="24"/>
                <w:szCs w:val="24"/>
              </w:rPr>
            </w:pPr>
            <w:r>
              <w:rPr>
                <w:rFonts w:cs="Calibri"/>
                <w:sz w:val="24"/>
                <w:szCs w:val="24"/>
              </w:rPr>
              <w:t>Elaborer des Rapport hebdomadaire sur les données de chaque point.</w:t>
            </w:r>
          </w:p>
          <w:p>
            <w:pPr>
              <w:pStyle w:val="style179"/>
              <w:numPr>
                <w:ilvl w:val="0"/>
                <w:numId w:val="6"/>
              </w:numPr>
              <w:rPr>
                <w:rFonts w:cs="Calibri"/>
                <w:sz w:val="24"/>
                <w:szCs w:val="24"/>
              </w:rPr>
            </w:pPr>
            <w:r>
              <w:rPr>
                <w:rFonts w:cs="Calibri"/>
                <w:sz w:val="24"/>
                <w:szCs w:val="24"/>
              </w:rPr>
              <w:t>Recenser les toute les informations nécessaires à la coordination.</w:t>
            </w:r>
          </w:p>
          <w:p>
            <w:pPr>
              <w:pStyle w:val="style179"/>
              <w:numPr>
                <w:ilvl w:val="0"/>
                <w:numId w:val="6"/>
              </w:numPr>
              <w:rPr>
                <w:rFonts w:cs="Calibri"/>
                <w:sz w:val="24"/>
                <w:szCs w:val="24"/>
              </w:rPr>
            </w:pPr>
            <w:r>
              <w:rPr>
                <w:rFonts w:cs="Calibri"/>
                <w:sz w:val="24"/>
                <w:szCs w:val="24"/>
              </w:rPr>
              <w:t>Archiver et suivi des données.</w:t>
            </w:r>
          </w:p>
          <w:p>
            <w:pPr>
              <w:pStyle w:val="style179"/>
              <w:numPr>
                <w:ilvl w:val="0"/>
                <w:numId w:val="6"/>
              </w:numPr>
              <w:rPr>
                <w:rFonts w:cs="Calibri"/>
                <w:sz w:val="24"/>
                <w:szCs w:val="24"/>
              </w:rPr>
            </w:pPr>
            <w:r>
              <w:rPr>
                <w:rFonts w:cs="Calibri"/>
                <w:sz w:val="24"/>
                <w:szCs w:val="24"/>
              </w:rPr>
              <w:t>Identifier quotidiennement les migrants irréguliers sur le point de suivi de flux.</w:t>
            </w:r>
          </w:p>
          <w:p>
            <w:pPr>
              <w:pStyle w:val="style179"/>
              <w:numPr>
                <w:ilvl w:val="0"/>
                <w:numId w:val="6"/>
              </w:numPr>
              <w:rPr>
                <w:rFonts w:cs="Calibri"/>
                <w:sz w:val="24"/>
                <w:szCs w:val="24"/>
              </w:rPr>
            </w:pPr>
            <w:r>
              <w:rPr>
                <w:rFonts w:cs="Calibri"/>
                <w:sz w:val="24"/>
                <w:szCs w:val="24"/>
              </w:rPr>
              <w:t>Sensibiliser les migrants identifiés sur les risques et dangers liés à la migration irrégulière</w:t>
            </w:r>
          </w:p>
          <w:p>
            <w:pPr>
              <w:pStyle w:val="style179"/>
              <w:numPr>
                <w:ilvl w:val="0"/>
                <w:numId w:val="6"/>
              </w:numPr>
              <w:rPr>
                <w:rFonts w:cs="Calibri"/>
                <w:sz w:val="24"/>
                <w:szCs w:val="24"/>
              </w:rPr>
            </w:pPr>
            <w:r>
              <w:rPr>
                <w:rFonts w:cs="Calibri"/>
                <w:sz w:val="24"/>
                <w:szCs w:val="24"/>
              </w:rPr>
              <w:t>Collecter les données qualitatives et quantitatives sur la migration irrégulière en remplissant correctement les différents formulaires de collecte de données.</w:t>
            </w:r>
          </w:p>
          <w:p>
            <w:pPr>
              <w:pStyle w:val="style179"/>
              <w:numPr>
                <w:ilvl w:val="0"/>
                <w:numId w:val="6"/>
              </w:numPr>
              <w:rPr>
                <w:rFonts w:cs="Calibri"/>
                <w:sz w:val="24"/>
                <w:szCs w:val="24"/>
              </w:rPr>
            </w:pPr>
            <w:r>
              <w:rPr>
                <w:rFonts w:cs="Calibri"/>
                <w:sz w:val="24"/>
                <w:szCs w:val="24"/>
              </w:rPr>
              <w:t>Facilitez le référencement des migrants pour une assistance pour les retournés volontaires</w:t>
            </w:r>
          </w:p>
          <w:p>
            <w:pPr>
              <w:pStyle w:val="style179"/>
              <w:numPr>
                <w:ilvl w:val="0"/>
                <w:numId w:val="6"/>
              </w:numPr>
              <w:rPr>
                <w:rFonts w:cs="Calibri"/>
                <w:sz w:val="28"/>
                <w:szCs w:val="28"/>
              </w:rPr>
            </w:pPr>
            <w:r>
              <w:rPr>
                <w:rFonts w:cs="Calibri"/>
                <w:sz w:val="24"/>
                <w:szCs w:val="24"/>
              </w:rPr>
              <w:t>Effectuer régulièrement des évaluations et enquêtes sur la migration irrégulière.</w:t>
            </w:r>
          </w:p>
        </w:tc>
      </w:tr>
      <w:tr>
        <w:tblPrEx/>
        <w:trPr>
          <w:trHeight w:val="149" w:hRule="atLeast"/>
        </w:trPr>
        <w:tc>
          <w:tcPr>
            <w:tcW w:w="1956" w:type="dxa"/>
            <w:tcBorders/>
          </w:tcPr>
          <w:p>
            <w:pPr>
              <w:pStyle w:val="style0"/>
              <w:jc w:val="both"/>
              <w:rPr>
                <w:rFonts w:cs="Calibri"/>
                <w:sz w:val="28"/>
                <w:szCs w:val="28"/>
              </w:rPr>
            </w:pPr>
            <w:r>
              <w:rPr>
                <w:rFonts w:cs="Calibri"/>
                <w:b/>
                <w:sz w:val="24"/>
                <w:szCs w:val="24"/>
              </w:rPr>
              <w:t>Tombouctou AEDT (Aide a</w:t>
            </w:r>
            <w:r>
              <w:rPr>
                <w:rFonts w:cs="Calibri"/>
                <w:b/>
                <w:sz w:val="24"/>
                <w:szCs w:val="24"/>
              </w:rPr>
              <w:t>ux Enfants Démunis de Tomboucto</w:t>
            </w:r>
            <w:r>
              <w:rPr>
                <w:rFonts w:cs="Calibri"/>
                <w:b/>
                <w:sz w:val="24"/>
                <w:szCs w:val="24"/>
              </w:rPr>
              <w:t>u</w:t>
            </w:r>
            <w:r>
              <w:rPr>
                <w:rFonts w:cs="Calibri"/>
                <w:b/>
                <w:sz w:val="24"/>
                <w:szCs w:val="24"/>
              </w:rPr>
              <w:t>).</w:t>
            </w:r>
          </w:p>
        </w:tc>
        <w:tc>
          <w:tcPr>
            <w:tcW w:w="1620" w:type="dxa"/>
            <w:tcBorders/>
          </w:tcPr>
          <w:p>
            <w:pPr>
              <w:pStyle w:val="style0"/>
              <w:rPr>
                <w:rFonts w:cs="Calibri"/>
                <w:sz w:val="28"/>
                <w:szCs w:val="28"/>
              </w:rPr>
            </w:pPr>
            <w:r>
              <w:rPr>
                <w:rFonts w:cs="Calibri"/>
                <w:b/>
                <w:sz w:val="24"/>
                <w:szCs w:val="24"/>
              </w:rPr>
              <w:t xml:space="preserve">Du </w:t>
            </w:r>
            <w:r>
              <w:rPr>
                <w:rFonts w:cs="Calibri"/>
                <w:b/>
                <w:sz w:val="24"/>
                <w:szCs w:val="24"/>
              </w:rPr>
              <w:t xml:space="preserve">15 </w:t>
            </w:r>
            <w:r>
              <w:rPr>
                <w:rFonts w:cs="Calibri"/>
                <w:b/>
                <w:sz w:val="24"/>
                <w:szCs w:val="24"/>
              </w:rPr>
              <w:t>/1/</w:t>
            </w:r>
            <w:r>
              <w:rPr>
                <w:rFonts w:cs="Calibri"/>
                <w:b/>
                <w:sz w:val="24"/>
                <w:szCs w:val="24"/>
              </w:rPr>
              <w:t xml:space="preserve">au 22 </w:t>
            </w:r>
            <w:r>
              <w:rPr>
                <w:rFonts w:cs="Calibri"/>
                <w:b/>
                <w:sz w:val="24"/>
                <w:szCs w:val="24"/>
              </w:rPr>
              <w:t>/2/</w:t>
            </w:r>
            <w:r>
              <w:rPr>
                <w:rFonts w:cs="Calibri"/>
                <w:b/>
                <w:sz w:val="24"/>
                <w:szCs w:val="24"/>
              </w:rPr>
              <w:t xml:space="preserve"> 2018</w:t>
            </w:r>
          </w:p>
        </w:tc>
        <w:tc>
          <w:tcPr>
            <w:tcW w:w="6783" w:type="dxa"/>
            <w:tcBorders/>
          </w:tcPr>
          <w:p>
            <w:pPr>
              <w:pStyle w:val="style179"/>
              <w:numPr>
                <w:ilvl w:val="0"/>
                <w:numId w:val="9"/>
              </w:numPr>
              <w:rPr>
                <w:rFonts w:cs="Calibri"/>
                <w:sz w:val="24"/>
                <w:szCs w:val="24"/>
              </w:rPr>
            </w:pPr>
            <w:r>
              <w:rPr>
                <w:rFonts w:cs="Calibri"/>
                <w:b/>
                <w:sz w:val="24"/>
                <w:szCs w:val="24"/>
              </w:rPr>
              <w:t>Formateur en Cohésion Sociale</w:t>
            </w:r>
            <w:r>
              <w:rPr>
                <w:rFonts w:cs="Calibri"/>
                <w:sz w:val="24"/>
                <w:szCs w:val="24"/>
              </w:rPr>
              <w:t> :</w:t>
            </w:r>
          </w:p>
          <w:p>
            <w:pPr>
              <w:pStyle w:val="style179"/>
              <w:numPr>
                <w:ilvl w:val="0"/>
                <w:numId w:val="9"/>
              </w:numPr>
              <w:jc w:val="both"/>
              <w:rPr>
                <w:rFonts w:cs="Calibri"/>
                <w:sz w:val="24"/>
                <w:szCs w:val="24"/>
              </w:rPr>
            </w:pPr>
            <w:r>
              <w:rPr>
                <w:rFonts w:cs="Calibri"/>
                <w:sz w:val="24"/>
                <w:szCs w:val="24"/>
              </w:rPr>
              <w:t>Organisation de campagne de sensibilisation pour les prêches dans les églises, les mosquées et les autres lieux publics.</w:t>
            </w:r>
          </w:p>
          <w:p>
            <w:pPr>
              <w:pStyle w:val="style179"/>
              <w:numPr>
                <w:ilvl w:val="0"/>
                <w:numId w:val="9"/>
              </w:numPr>
              <w:jc w:val="both"/>
              <w:rPr>
                <w:rFonts w:cs="Calibri"/>
                <w:sz w:val="24"/>
                <w:szCs w:val="24"/>
              </w:rPr>
            </w:pPr>
            <w:r>
              <w:rPr>
                <w:rFonts w:cs="Calibri"/>
                <w:sz w:val="24"/>
                <w:szCs w:val="24"/>
              </w:rPr>
              <w:t>Conduite d’une formation en techniques d’expression, formulation et adaptions des messages des prédications et des sermons pour les religieux, la société civile, les femmes et les jeunes</w:t>
            </w:r>
          </w:p>
          <w:p>
            <w:pPr>
              <w:pStyle w:val="style179"/>
              <w:numPr>
                <w:ilvl w:val="0"/>
                <w:numId w:val="9"/>
              </w:numPr>
              <w:jc w:val="both"/>
              <w:rPr>
                <w:rFonts w:cs="Calibri"/>
                <w:sz w:val="24"/>
                <w:szCs w:val="24"/>
              </w:rPr>
            </w:pPr>
            <w:r>
              <w:rPr>
                <w:rFonts w:cs="Calibri"/>
                <w:sz w:val="24"/>
                <w:szCs w:val="24"/>
              </w:rPr>
              <w:t>Apprendre et comprendre le roule joué par les propagandes radicalismes, les chefs religieux.</w:t>
            </w:r>
          </w:p>
          <w:p>
            <w:pPr>
              <w:pStyle w:val="style179"/>
              <w:numPr>
                <w:ilvl w:val="0"/>
                <w:numId w:val="9"/>
              </w:numPr>
              <w:jc w:val="both"/>
              <w:rPr>
                <w:rFonts w:cs="Calibri"/>
                <w:sz w:val="28"/>
                <w:szCs w:val="28"/>
              </w:rPr>
            </w:pPr>
            <w:r>
              <w:rPr>
                <w:rFonts w:cs="Calibri"/>
                <w:sz w:val="24"/>
                <w:szCs w:val="24"/>
              </w:rPr>
              <w:t>S’engager dans un dialogue participatif et des échanges  qui favorisent la bonne gouvernance et la cohésion communautaire et sociale dans les endroits à haut risques de violence.</w:t>
            </w:r>
          </w:p>
        </w:tc>
      </w:tr>
      <w:tr>
        <w:tblPrEx/>
        <w:trPr>
          <w:trHeight w:val="149" w:hRule="atLeast"/>
        </w:trPr>
        <w:tc>
          <w:tcPr>
            <w:tcW w:w="1956" w:type="dxa"/>
            <w:tcBorders/>
          </w:tcPr>
          <w:p>
            <w:pPr>
              <w:pStyle w:val="style0"/>
              <w:jc w:val="center"/>
              <w:rPr>
                <w:rFonts w:cs="Calibri"/>
                <w:b/>
                <w:sz w:val="24"/>
                <w:szCs w:val="24"/>
              </w:rPr>
            </w:pPr>
            <w:r>
              <w:rPr>
                <w:rFonts w:cs="Calibri"/>
                <w:b/>
                <w:sz w:val="24"/>
                <w:szCs w:val="24"/>
              </w:rPr>
              <w:t>Gourma Rharous Organisation Internationale pour les Migrations</w:t>
            </w:r>
          </w:p>
          <w:p>
            <w:pPr>
              <w:pStyle w:val="style0"/>
              <w:jc w:val="both"/>
              <w:rPr>
                <w:rFonts w:cs="Calibri"/>
                <w:sz w:val="28"/>
                <w:szCs w:val="28"/>
              </w:rPr>
            </w:pPr>
          </w:p>
        </w:tc>
        <w:tc>
          <w:tcPr>
            <w:tcW w:w="1620" w:type="dxa"/>
            <w:tcBorders/>
          </w:tcPr>
          <w:p>
            <w:pPr>
              <w:pStyle w:val="style0"/>
              <w:rPr>
                <w:rFonts w:cs="Calibri"/>
                <w:sz w:val="28"/>
                <w:szCs w:val="28"/>
              </w:rPr>
            </w:pPr>
            <w:r>
              <w:rPr>
                <w:rFonts w:cs="Calibri"/>
                <w:b/>
                <w:sz w:val="24"/>
                <w:szCs w:val="24"/>
              </w:rPr>
              <w:t>Du 1</w:t>
            </w:r>
            <w:r>
              <w:rPr>
                <w:rFonts w:cs="Calibri"/>
                <w:b/>
                <w:sz w:val="24"/>
                <w:szCs w:val="24"/>
                <w:vertAlign w:val="superscript"/>
              </w:rPr>
              <w:t>er</w:t>
            </w:r>
            <w:r>
              <w:rPr>
                <w:rFonts w:cs="Calibri"/>
                <w:b/>
                <w:sz w:val="24"/>
                <w:szCs w:val="24"/>
              </w:rPr>
              <w:t>/6/ 2016 au 30/3/</w:t>
            </w:r>
            <w:r>
              <w:rPr>
                <w:rFonts w:cs="Calibri"/>
                <w:b/>
                <w:sz w:val="24"/>
                <w:szCs w:val="24"/>
              </w:rPr>
              <w:t>2017</w:t>
            </w:r>
          </w:p>
        </w:tc>
        <w:tc>
          <w:tcPr>
            <w:tcW w:w="6783" w:type="dxa"/>
            <w:tcBorders/>
          </w:tcPr>
          <w:p>
            <w:pPr>
              <w:pStyle w:val="style179"/>
              <w:numPr>
                <w:ilvl w:val="0"/>
                <w:numId w:val="11"/>
              </w:numPr>
              <w:rPr>
                <w:rFonts w:cs="Calibri"/>
                <w:sz w:val="24"/>
                <w:szCs w:val="24"/>
              </w:rPr>
            </w:pPr>
            <w:r>
              <w:rPr>
                <w:rFonts w:cs="Calibri"/>
                <w:b/>
                <w:sz w:val="24"/>
                <w:szCs w:val="24"/>
              </w:rPr>
              <w:t>Assistant Communautaire :</w:t>
            </w:r>
          </w:p>
          <w:p>
            <w:pPr>
              <w:pStyle w:val="style179"/>
              <w:numPr>
                <w:ilvl w:val="0"/>
                <w:numId w:val="11"/>
              </w:numPr>
              <w:rPr>
                <w:rFonts w:cs="Calibri"/>
                <w:sz w:val="24"/>
                <w:szCs w:val="24"/>
              </w:rPr>
            </w:pPr>
            <w:r>
              <w:rPr>
                <w:rFonts w:cs="Calibri"/>
                <w:sz w:val="24"/>
                <w:szCs w:val="24"/>
              </w:rPr>
              <w:t>Répondre  aux besoins en abris d’urgence et en biens non alimentaires  des PDIs, retournés et personnes vulnérable dans les régions  Nord du Mali.</w:t>
            </w:r>
          </w:p>
          <w:p>
            <w:pPr>
              <w:pStyle w:val="style179"/>
              <w:numPr>
                <w:ilvl w:val="0"/>
                <w:numId w:val="11"/>
              </w:numPr>
              <w:rPr>
                <w:rFonts w:cs="Calibri"/>
                <w:sz w:val="24"/>
                <w:szCs w:val="24"/>
              </w:rPr>
            </w:pPr>
            <w:r>
              <w:rPr>
                <w:rFonts w:cs="Calibri"/>
                <w:sz w:val="24"/>
                <w:szCs w:val="24"/>
              </w:rPr>
              <w:t>Dans le cadre de la Stabilisation Communautaire (CS), l’organisation internationale pour les migrants (OIM) à travers son Projet CERF a confié la fourniture et la livraison des Matériaux de crépissage à Gourma Rharous pour les communautés (populations déplacées, retournées, hôtes et vulnérable) à Gourma Rharous.</w:t>
            </w:r>
          </w:p>
          <w:p>
            <w:pPr>
              <w:pStyle w:val="style179"/>
              <w:numPr>
                <w:ilvl w:val="0"/>
                <w:numId w:val="11"/>
              </w:numPr>
              <w:rPr>
                <w:rFonts w:cs="Calibri"/>
                <w:sz w:val="24"/>
                <w:szCs w:val="24"/>
              </w:rPr>
            </w:pPr>
            <w:r>
              <w:rPr>
                <w:rFonts w:cs="Calibri"/>
                <w:sz w:val="24"/>
                <w:szCs w:val="24"/>
              </w:rPr>
              <w:t xml:space="preserve">Approche d’intervention Communautaire impliquant la communauté et le bénéficiaire dans la prise de décision de </w:t>
            </w:r>
            <w:r>
              <w:rPr>
                <w:rFonts w:cs="Calibri"/>
                <w:sz w:val="24"/>
                <w:szCs w:val="24"/>
              </w:rPr>
              <w:t xml:space="preserve">l’abri conçu et requérir leur implication et participation dans toutes les étapes du projet garantissant l’appropriation de l’ouvrage bâtit. </w:t>
            </w:r>
          </w:p>
          <w:p>
            <w:pPr>
              <w:pStyle w:val="style179"/>
              <w:numPr>
                <w:ilvl w:val="0"/>
                <w:numId w:val="11"/>
              </w:numPr>
              <w:jc w:val="both"/>
              <w:rPr>
                <w:rFonts w:cs="Calibri"/>
                <w:sz w:val="28"/>
                <w:szCs w:val="28"/>
              </w:rPr>
            </w:pPr>
            <w:r>
              <w:rPr>
                <w:rFonts w:cs="Calibri"/>
                <w:sz w:val="24"/>
                <w:szCs w:val="24"/>
              </w:rPr>
              <w:t>Le document parcellaire non contesté par l’autorité des tutelles reste un gage incontournable dans le processus d’allocation de support en appui</w:t>
            </w:r>
          </w:p>
        </w:tc>
      </w:tr>
      <w:tr>
        <w:tblPrEx/>
        <w:trPr>
          <w:trHeight w:val="149" w:hRule="atLeast"/>
        </w:trPr>
        <w:tc>
          <w:tcPr>
            <w:tcW w:w="1956" w:type="dxa"/>
            <w:tcBorders/>
          </w:tcPr>
          <w:p>
            <w:pPr>
              <w:pStyle w:val="style0"/>
              <w:jc w:val="center"/>
              <w:contextualSpacing/>
              <w:rPr>
                <w:rFonts w:cs="Calibri"/>
                <w:b/>
                <w:sz w:val="24"/>
                <w:szCs w:val="24"/>
              </w:rPr>
            </w:pPr>
            <w:r>
              <w:rPr>
                <w:rFonts w:cs="Calibri"/>
                <w:b/>
                <w:sz w:val="24"/>
                <w:szCs w:val="24"/>
              </w:rPr>
              <w:t>Millenium Consulting  Group  Sarl Tombouctou, Gourma Rharous et Niafounké</w:t>
            </w:r>
          </w:p>
          <w:p>
            <w:pPr>
              <w:pStyle w:val="style0"/>
              <w:jc w:val="both"/>
              <w:rPr>
                <w:rFonts w:cs="Calibri"/>
                <w:sz w:val="28"/>
                <w:szCs w:val="28"/>
              </w:rPr>
            </w:pPr>
          </w:p>
        </w:tc>
        <w:tc>
          <w:tcPr>
            <w:tcW w:w="1620" w:type="dxa"/>
            <w:tcBorders/>
          </w:tcPr>
          <w:p>
            <w:pPr>
              <w:pStyle w:val="style0"/>
              <w:rPr>
                <w:rFonts w:cs="Calibri"/>
                <w:sz w:val="28"/>
                <w:szCs w:val="28"/>
              </w:rPr>
            </w:pPr>
            <w:r>
              <w:rPr>
                <w:rFonts w:cs="Calibri"/>
                <w:b/>
                <w:sz w:val="24"/>
                <w:szCs w:val="24"/>
              </w:rPr>
              <w:t>Du 12 au 26/1/</w:t>
            </w:r>
            <w:r>
              <w:rPr>
                <w:rFonts w:cs="Calibri"/>
                <w:b/>
                <w:sz w:val="24"/>
                <w:szCs w:val="24"/>
              </w:rPr>
              <w:t xml:space="preserve">2016  </w:t>
            </w:r>
          </w:p>
        </w:tc>
        <w:tc>
          <w:tcPr>
            <w:tcW w:w="6783" w:type="dxa"/>
            <w:tcBorders/>
          </w:tcPr>
          <w:p>
            <w:pPr>
              <w:pStyle w:val="style179"/>
              <w:numPr>
                <w:ilvl w:val="0"/>
                <w:numId w:val="13"/>
              </w:numPr>
              <w:rPr>
                <w:rFonts w:cs="Calibri"/>
                <w:b/>
                <w:sz w:val="24"/>
                <w:szCs w:val="24"/>
              </w:rPr>
            </w:pPr>
            <w:r>
              <w:rPr>
                <w:rFonts w:cs="Calibri"/>
                <w:b/>
                <w:sz w:val="24"/>
                <w:szCs w:val="24"/>
              </w:rPr>
              <w:t>Moniteur : Projet MLI 0196</w:t>
            </w:r>
          </w:p>
          <w:p>
            <w:pPr>
              <w:pStyle w:val="style179"/>
              <w:numPr>
                <w:ilvl w:val="0"/>
                <w:numId w:val="13"/>
              </w:numPr>
              <w:rPr>
                <w:rFonts w:cs="Calibri"/>
                <w:sz w:val="24"/>
                <w:szCs w:val="24"/>
              </w:rPr>
            </w:pPr>
            <w:r>
              <w:rPr>
                <w:rFonts w:cs="Calibri"/>
                <w:sz w:val="24"/>
                <w:szCs w:val="24"/>
              </w:rPr>
              <w:t>Enquêter sur le renforcement de la résilience  dans le nord à travers des écoles sécurisées et la prévention des catastrophes dans les communautés.</w:t>
            </w:r>
          </w:p>
          <w:p>
            <w:pPr>
              <w:pStyle w:val="style0"/>
              <w:jc w:val="both"/>
              <w:rPr>
                <w:rFonts w:cs="Calibri"/>
                <w:sz w:val="28"/>
                <w:szCs w:val="28"/>
              </w:rPr>
            </w:pPr>
          </w:p>
        </w:tc>
      </w:tr>
      <w:tr>
        <w:tblPrEx/>
        <w:trPr>
          <w:trHeight w:val="149" w:hRule="atLeast"/>
        </w:trPr>
        <w:tc>
          <w:tcPr>
            <w:tcW w:w="1956" w:type="dxa"/>
            <w:tcBorders/>
          </w:tcPr>
          <w:p>
            <w:pPr>
              <w:pStyle w:val="style0"/>
              <w:rPr>
                <w:rFonts w:cs="Calibri"/>
                <w:b/>
                <w:sz w:val="24"/>
                <w:szCs w:val="24"/>
              </w:rPr>
            </w:pPr>
            <w:r>
              <w:rPr>
                <w:rFonts w:cs="Calibri"/>
                <w:b/>
                <w:sz w:val="24"/>
                <w:szCs w:val="24"/>
              </w:rPr>
              <w:t>Conseil  Développement Local Sarl Tombouctou, Niafunké, Gourma Rharous</w:t>
            </w:r>
          </w:p>
          <w:p>
            <w:pPr>
              <w:pStyle w:val="style0"/>
              <w:rPr>
                <w:rFonts w:cs="Calibri"/>
                <w:sz w:val="28"/>
                <w:szCs w:val="28"/>
              </w:rPr>
            </w:pPr>
          </w:p>
        </w:tc>
        <w:tc>
          <w:tcPr>
            <w:tcW w:w="1620" w:type="dxa"/>
            <w:tcBorders/>
          </w:tcPr>
          <w:p>
            <w:pPr>
              <w:pStyle w:val="style0"/>
              <w:rPr>
                <w:rFonts w:cs="Calibri"/>
                <w:b/>
                <w:bCs/>
                <w:sz w:val="24"/>
                <w:szCs w:val="24"/>
              </w:rPr>
            </w:pPr>
            <w:r>
              <w:rPr>
                <w:rFonts w:cs="Calibri"/>
                <w:b/>
                <w:bCs/>
                <w:sz w:val="24"/>
                <w:szCs w:val="24"/>
              </w:rPr>
              <w:t>Du 17 au 26 novembre</w:t>
            </w:r>
            <w:r>
              <w:rPr>
                <w:rFonts w:cs="Calibri"/>
                <w:b/>
                <w:bCs/>
                <w:sz w:val="24"/>
                <w:szCs w:val="24"/>
              </w:rPr>
              <w:t xml:space="preserve">2015  </w:t>
            </w:r>
          </w:p>
          <w:p>
            <w:pPr>
              <w:pStyle w:val="style0"/>
              <w:rPr>
                <w:rFonts w:cs="Calibri"/>
                <w:sz w:val="28"/>
                <w:szCs w:val="28"/>
              </w:rPr>
            </w:pPr>
          </w:p>
        </w:tc>
        <w:tc>
          <w:tcPr>
            <w:tcW w:w="6783" w:type="dxa"/>
            <w:tcBorders/>
          </w:tcPr>
          <w:p>
            <w:pPr>
              <w:pStyle w:val="style179"/>
              <w:numPr>
                <w:ilvl w:val="0"/>
                <w:numId w:val="7"/>
              </w:numPr>
              <w:rPr>
                <w:rFonts w:cs="Calibri"/>
                <w:b/>
                <w:sz w:val="24"/>
                <w:szCs w:val="24"/>
              </w:rPr>
            </w:pPr>
            <w:r>
              <w:rPr>
                <w:rFonts w:cs="Calibri"/>
                <w:b/>
                <w:sz w:val="24"/>
                <w:szCs w:val="24"/>
              </w:rPr>
              <w:t xml:space="preserve">Formateur : Cohésion social, </w:t>
            </w:r>
            <w:r>
              <w:rPr>
                <w:rFonts w:cs="Calibri" w:eastAsia="Times New Roman"/>
                <w:b/>
                <w:sz w:val="24"/>
                <w:szCs w:val="24"/>
                <w:lang w:eastAsia="fr-FR"/>
              </w:rPr>
              <w:t>gestion financière des groupements bénéficiaires de l’appui de DRC, Marketing, et la Protection</w:t>
            </w:r>
          </w:p>
          <w:p>
            <w:pPr>
              <w:pStyle w:val="style179"/>
              <w:numPr>
                <w:ilvl w:val="0"/>
                <w:numId w:val="14"/>
              </w:numPr>
              <w:rPr>
                <w:rFonts w:cs="Calibri"/>
                <w:sz w:val="24"/>
                <w:szCs w:val="24"/>
              </w:rPr>
            </w:pPr>
            <w:r>
              <w:rPr>
                <w:rFonts w:cs="Calibri"/>
                <w:sz w:val="24"/>
                <w:szCs w:val="24"/>
              </w:rPr>
              <w:t>Renforcer les capacités et les compétences des groupements du cercle de Tombouctou financés par DRC  pour contribuer au retour de la paix et promouvoir la cohésion sociale au sein des communautés dans la région  de Tombouctou.</w:t>
            </w:r>
          </w:p>
          <w:p>
            <w:pPr>
              <w:pStyle w:val="style179"/>
              <w:numPr>
                <w:ilvl w:val="0"/>
                <w:numId w:val="14"/>
              </w:numPr>
              <w:rPr>
                <w:rFonts w:cs="Calibri"/>
                <w:sz w:val="24"/>
                <w:szCs w:val="24"/>
              </w:rPr>
            </w:pPr>
            <w:r>
              <w:rPr>
                <w:rFonts w:cs="Calibri" w:eastAsia="Times New Roman"/>
                <w:sz w:val="24"/>
                <w:szCs w:val="24"/>
                <w:lang w:eastAsia="fr-FR"/>
              </w:rPr>
              <w:t>vise à doter les  groupements de connaissances, de compréhensions et d’outils communs, partagés et acceptés sur la démocratie, le dialogue, la cohésion sociale et la réconciliation nationale </w:t>
            </w:r>
          </w:p>
          <w:p>
            <w:pPr>
              <w:pStyle w:val="style179"/>
              <w:numPr>
                <w:ilvl w:val="0"/>
                <w:numId w:val="14"/>
              </w:numPr>
              <w:rPr>
                <w:rFonts w:cs="Calibri"/>
                <w:sz w:val="24"/>
                <w:szCs w:val="24"/>
              </w:rPr>
            </w:pPr>
            <w:r>
              <w:rPr>
                <w:rFonts w:cs="Calibri" w:eastAsia="Times New Roman"/>
                <w:sz w:val="24"/>
                <w:szCs w:val="24"/>
                <w:lang w:eastAsia="fr-FR"/>
              </w:rPr>
              <w:t>Renforcer les capacités organisationnelles des groupements bénéficiaires de l’appui de DRC</w:t>
            </w:r>
          </w:p>
          <w:p>
            <w:pPr>
              <w:pStyle w:val="style179"/>
              <w:numPr>
                <w:ilvl w:val="0"/>
                <w:numId w:val="14"/>
              </w:numPr>
              <w:rPr>
                <w:rFonts w:cs="Calibri"/>
                <w:sz w:val="24"/>
                <w:szCs w:val="24"/>
              </w:rPr>
            </w:pPr>
            <w:r>
              <w:rPr>
                <w:rFonts w:cs="Calibri" w:eastAsia="Times New Roman"/>
                <w:sz w:val="24"/>
                <w:szCs w:val="24"/>
                <w:lang w:eastAsia="fr-FR"/>
              </w:rPr>
              <w:t>Amener les groupements à mieux s’organiser et à mieux gérer leurs organisations ; </w:t>
            </w:r>
          </w:p>
          <w:p>
            <w:pPr>
              <w:pStyle w:val="style179"/>
              <w:numPr>
                <w:ilvl w:val="0"/>
                <w:numId w:val="14"/>
              </w:numPr>
              <w:rPr>
                <w:rFonts w:cs="Calibri"/>
                <w:sz w:val="24"/>
                <w:szCs w:val="24"/>
              </w:rPr>
            </w:pPr>
            <w:r>
              <w:rPr>
                <w:rFonts w:cs="Calibri" w:eastAsia="Times New Roman"/>
                <w:sz w:val="24"/>
                <w:szCs w:val="24"/>
                <w:lang w:eastAsia="fr-FR"/>
              </w:rPr>
              <w:t>Connaitre les bases fondamentales de la gestion financière ; </w:t>
            </w:r>
          </w:p>
          <w:p>
            <w:pPr>
              <w:pStyle w:val="style179"/>
              <w:numPr>
                <w:ilvl w:val="0"/>
                <w:numId w:val="14"/>
              </w:numPr>
              <w:rPr>
                <w:rFonts w:cs="Calibri"/>
                <w:sz w:val="24"/>
                <w:szCs w:val="24"/>
              </w:rPr>
            </w:pPr>
            <w:r>
              <w:rPr>
                <w:rFonts w:cs="Calibri" w:eastAsia="Times New Roman"/>
                <w:sz w:val="24"/>
                <w:szCs w:val="24"/>
                <w:lang w:eastAsia="fr-FR"/>
              </w:rPr>
              <w:t>Connaitre les Outils de gestion financière</w:t>
            </w:r>
          </w:p>
          <w:p>
            <w:pPr>
              <w:pStyle w:val="style179"/>
              <w:numPr>
                <w:ilvl w:val="0"/>
                <w:numId w:val="14"/>
              </w:numPr>
              <w:rPr>
                <w:rFonts w:cs="Calibri"/>
                <w:sz w:val="24"/>
                <w:szCs w:val="24"/>
              </w:rPr>
            </w:pPr>
            <w:r>
              <w:rPr>
                <w:rFonts w:cs="Calibri"/>
                <w:sz w:val="24"/>
                <w:szCs w:val="24"/>
              </w:rPr>
              <w:t>Améliorer leurs compétences et leurs habiletés en recherche;</w:t>
            </w:r>
          </w:p>
          <w:p>
            <w:pPr>
              <w:pStyle w:val="style179"/>
              <w:numPr>
                <w:ilvl w:val="0"/>
                <w:numId w:val="14"/>
              </w:numPr>
              <w:rPr>
                <w:rFonts w:cs="Calibri"/>
                <w:sz w:val="24"/>
                <w:szCs w:val="24"/>
              </w:rPr>
            </w:pPr>
            <w:r>
              <w:rPr>
                <w:rFonts w:cs="Calibri"/>
                <w:sz w:val="24"/>
                <w:szCs w:val="24"/>
              </w:rPr>
              <w:t>Améliorer leur connaissance des quatre principes de base du marketing ;</w:t>
            </w:r>
          </w:p>
          <w:p>
            <w:pPr>
              <w:pStyle w:val="style179"/>
              <w:numPr>
                <w:ilvl w:val="0"/>
                <w:numId w:val="14"/>
              </w:numPr>
              <w:rPr>
                <w:rFonts w:cs="Calibri"/>
                <w:sz w:val="24"/>
                <w:szCs w:val="24"/>
              </w:rPr>
            </w:pPr>
            <w:r>
              <w:rPr>
                <w:rFonts w:cs="Calibri"/>
                <w:sz w:val="24"/>
                <w:szCs w:val="24"/>
              </w:rPr>
              <w:t>Améliorer Leur compréhension des ressources et des méthodes de la recherche en marketing;</w:t>
            </w:r>
          </w:p>
          <w:p>
            <w:pPr>
              <w:pStyle w:val="style179"/>
              <w:numPr>
                <w:ilvl w:val="0"/>
                <w:numId w:val="14"/>
              </w:numPr>
              <w:rPr>
                <w:rFonts w:cs="Calibri"/>
                <w:sz w:val="24"/>
                <w:szCs w:val="24"/>
              </w:rPr>
            </w:pPr>
            <w:r>
              <w:rPr>
                <w:rFonts w:cs="Calibri"/>
                <w:sz w:val="24"/>
                <w:szCs w:val="24"/>
              </w:rPr>
              <w:t>Améliorer Leur compréhension des activités de marketing;</w:t>
            </w:r>
          </w:p>
          <w:p>
            <w:pPr>
              <w:pStyle w:val="style179"/>
              <w:numPr>
                <w:ilvl w:val="0"/>
                <w:numId w:val="14"/>
              </w:numPr>
              <w:rPr>
                <w:rFonts w:cs="Calibri"/>
                <w:sz w:val="24"/>
                <w:szCs w:val="24"/>
              </w:rPr>
            </w:pPr>
            <w:r>
              <w:rPr>
                <w:rFonts w:cs="Calibri"/>
                <w:sz w:val="24"/>
                <w:szCs w:val="24"/>
              </w:rPr>
              <w:t>Renforcer leur sensibilité à l’importance du marketing.</w:t>
            </w:r>
          </w:p>
          <w:p>
            <w:pPr>
              <w:pStyle w:val="style179"/>
              <w:numPr>
                <w:ilvl w:val="0"/>
                <w:numId w:val="14"/>
              </w:numPr>
              <w:rPr>
                <w:rFonts w:cs="Calibri"/>
                <w:sz w:val="24"/>
                <w:szCs w:val="24"/>
              </w:rPr>
            </w:pPr>
            <w:r>
              <w:rPr>
                <w:rFonts w:cs="Calibri"/>
                <w:sz w:val="24"/>
                <w:szCs w:val="24"/>
              </w:rPr>
              <w:t>Démontrer l’importance et la pertinence de la Protection transversale dans les contextes humanitaires ;</w:t>
            </w:r>
          </w:p>
          <w:p>
            <w:pPr>
              <w:pStyle w:val="style179"/>
              <w:numPr>
                <w:ilvl w:val="0"/>
                <w:numId w:val="14"/>
              </w:numPr>
              <w:rPr>
                <w:rFonts w:cs="Calibri"/>
                <w:sz w:val="24"/>
                <w:szCs w:val="24"/>
              </w:rPr>
            </w:pPr>
            <w:r>
              <w:rPr>
                <w:rFonts w:cs="Calibri"/>
                <w:sz w:val="24"/>
                <w:szCs w:val="24"/>
              </w:rPr>
              <w:t>Expliquer la définition de la Protection transversale donnée par le groupe sectoriel mondial de la Protection et son application aux contextes humanitaires ;</w:t>
            </w:r>
          </w:p>
          <w:p>
            <w:pPr>
              <w:pStyle w:val="style179"/>
              <w:numPr>
                <w:ilvl w:val="0"/>
                <w:numId w:val="14"/>
              </w:numPr>
              <w:rPr>
                <w:rFonts w:cs="Calibri"/>
                <w:sz w:val="24"/>
                <w:szCs w:val="24"/>
              </w:rPr>
            </w:pPr>
            <w:r>
              <w:rPr>
                <w:rFonts w:cs="Calibri"/>
                <w:sz w:val="24"/>
                <w:szCs w:val="24"/>
              </w:rPr>
              <w:t>Décrire les quatre éléments clés de la protection transversale, insister sur les besoins de chacun et les appliquer au contexte spécifique ;</w:t>
            </w:r>
          </w:p>
          <w:p>
            <w:pPr>
              <w:pStyle w:val="style179"/>
              <w:numPr>
                <w:ilvl w:val="0"/>
                <w:numId w:val="14"/>
              </w:numPr>
              <w:rPr>
                <w:rFonts w:cs="Calibri"/>
                <w:sz w:val="24"/>
                <w:szCs w:val="24"/>
              </w:rPr>
            </w:pPr>
            <w:r>
              <w:rPr>
                <w:rFonts w:cs="Calibri"/>
                <w:sz w:val="24"/>
                <w:szCs w:val="24"/>
              </w:rPr>
              <w:t>Encourager l’engagement envers la Protection transversale dans les réponses humanitaires ;</w:t>
            </w:r>
          </w:p>
          <w:p>
            <w:pPr>
              <w:pStyle w:val="style179"/>
              <w:numPr>
                <w:ilvl w:val="0"/>
                <w:numId w:val="14"/>
              </w:numPr>
              <w:rPr>
                <w:rFonts w:cs="Calibri"/>
                <w:sz w:val="24"/>
                <w:szCs w:val="24"/>
              </w:rPr>
            </w:pPr>
            <w:r>
              <w:rPr>
                <w:rFonts w:cs="Calibri"/>
                <w:sz w:val="24"/>
                <w:szCs w:val="24"/>
              </w:rPr>
              <w:t>Souligner clairement qui est responsable sur le terrain de la Protection transversale ;</w:t>
            </w:r>
          </w:p>
          <w:p>
            <w:pPr>
              <w:pStyle w:val="style179"/>
              <w:numPr>
                <w:ilvl w:val="0"/>
                <w:numId w:val="14"/>
              </w:numPr>
              <w:rPr>
                <w:rFonts w:cs="Calibri"/>
                <w:sz w:val="28"/>
                <w:szCs w:val="28"/>
              </w:rPr>
            </w:pPr>
            <w:r>
              <w:rPr>
                <w:rFonts w:cs="Calibri"/>
                <w:sz w:val="24"/>
                <w:szCs w:val="24"/>
              </w:rPr>
              <w:t>Décrire les quatre éléments clés de la protection transversale, insistera sur les besoins de chacun et les appliquera au contexte spécifique</w:t>
            </w:r>
          </w:p>
        </w:tc>
      </w:tr>
      <w:tr>
        <w:tblPrEx/>
        <w:trPr>
          <w:trHeight w:val="149" w:hRule="atLeast"/>
        </w:trPr>
        <w:tc>
          <w:tcPr>
            <w:tcW w:w="1956" w:type="dxa"/>
            <w:tcBorders/>
          </w:tcPr>
          <w:p>
            <w:pPr>
              <w:pStyle w:val="style0"/>
              <w:spacing w:after="200" w:lineRule="auto" w:line="276"/>
              <w:jc w:val="center"/>
              <w:rPr>
                <w:rFonts w:cs="Calibri" w:eastAsia="Calibri"/>
                <w:b/>
                <w:sz w:val="24"/>
                <w:szCs w:val="24"/>
                <w:lang w:val="en-US"/>
              </w:rPr>
            </w:pPr>
            <w:r>
              <w:rPr>
                <w:rFonts w:cs="Calibri" w:eastAsia="Calibri"/>
                <w:b/>
                <w:sz w:val="24"/>
                <w:szCs w:val="24"/>
                <w:lang w:val="en-US"/>
              </w:rPr>
              <w:t xml:space="preserve">Welt Hunger </w:t>
            </w:r>
            <w:r>
              <w:rPr>
                <w:rFonts w:cs="Calibri" w:eastAsia="Calibri"/>
                <w:b/>
                <w:sz w:val="24"/>
                <w:szCs w:val="24"/>
                <w:lang w:val="en-US"/>
              </w:rPr>
              <w:t>Hilfe</w:t>
            </w:r>
            <w:r>
              <w:rPr>
                <w:rFonts w:cs="Calibri" w:eastAsia="Calibri"/>
                <w:b/>
                <w:sz w:val="24"/>
                <w:szCs w:val="24"/>
                <w:lang w:val="en-US"/>
              </w:rPr>
              <w:t>TombouctouBouremInaly</w:t>
            </w:r>
            <w:r>
              <w:rPr>
                <w:rFonts w:cs="Calibri" w:eastAsia="Calibri"/>
                <w:b/>
                <w:sz w:val="24"/>
                <w:szCs w:val="24"/>
                <w:lang w:val="en-US"/>
              </w:rPr>
              <w:t xml:space="preserve">        Tonka                                                Goundam</w:t>
            </w:r>
          </w:p>
          <w:p>
            <w:pPr>
              <w:pStyle w:val="style0"/>
              <w:rPr>
                <w:rFonts w:cs="Calibri"/>
                <w:sz w:val="28"/>
                <w:szCs w:val="28"/>
                <w:lang w:val="en-US"/>
              </w:rPr>
            </w:pPr>
          </w:p>
        </w:tc>
        <w:tc>
          <w:tcPr>
            <w:tcW w:w="1620" w:type="dxa"/>
            <w:tcBorders/>
          </w:tcPr>
          <w:p>
            <w:pPr>
              <w:pStyle w:val="style0"/>
              <w:spacing w:after="200" w:lineRule="auto" w:line="276"/>
              <w:rPr>
                <w:rFonts w:cs="Calibri" w:eastAsia="Calibri"/>
                <w:b/>
                <w:sz w:val="24"/>
                <w:szCs w:val="24"/>
              </w:rPr>
            </w:pPr>
            <w:r>
              <w:rPr>
                <w:rFonts w:cs="Calibri" w:eastAsia="Calibri"/>
                <w:b/>
                <w:sz w:val="24"/>
                <w:szCs w:val="24"/>
              </w:rPr>
              <w:t>Du 06 au 11 Juillet 2015</w:t>
            </w:r>
          </w:p>
          <w:p>
            <w:pPr>
              <w:pStyle w:val="style0"/>
              <w:rPr>
                <w:rFonts w:cs="Calibri"/>
                <w:sz w:val="28"/>
                <w:szCs w:val="28"/>
                <w:lang w:val="en-US"/>
              </w:rPr>
            </w:pPr>
          </w:p>
        </w:tc>
        <w:tc>
          <w:tcPr>
            <w:tcW w:w="6783" w:type="dxa"/>
            <w:tcBorders/>
          </w:tcPr>
          <w:p>
            <w:pPr>
              <w:pStyle w:val="style0"/>
              <w:numPr>
                <w:ilvl w:val="0"/>
                <w:numId w:val="15"/>
              </w:numPr>
              <w:contextualSpacing/>
              <w:rPr>
                <w:rFonts w:cs="Calibri"/>
                <w:sz w:val="24"/>
                <w:szCs w:val="24"/>
              </w:rPr>
            </w:pPr>
            <w:r>
              <w:rPr>
                <w:rFonts w:cs="Calibri" w:eastAsia="Calibri"/>
                <w:b/>
                <w:sz w:val="24"/>
                <w:szCs w:val="24"/>
              </w:rPr>
              <w:t>Enquêteur </w:t>
            </w:r>
            <w:r>
              <w:rPr>
                <w:rFonts w:cs="Calibri" w:eastAsia="Calibri"/>
                <w:sz w:val="24"/>
                <w:szCs w:val="24"/>
              </w:rPr>
              <w:t>:</w:t>
            </w:r>
          </w:p>
          <w:p>
            <w:pPr>
              <w:pStyle w:val="style179"/>
              <w:numPr>
                <w:ilvl w:val="0"/>
                <w:numId w:val="17"/>
              </w:numPr>
              <w:rPr>
                <w:rFonts w:cs="Calibri"/>
                <w:sz w:val="24"/>
                <w:szCs w:val="24"/>
              </w:rPr>
            </w:pPr>
            <w:r>
              <w:rPr>
                <w:rFonts w:cs="Calibri"/>
                <w:sz w:val="24"/>
                <w:szCs w:val="24"/>
              </w:rPr>
              <w:t xml:space="preserve">Enquêter et évaluer le </w:t>
            </w:r>
            <w:r>
              <w:rPr>
                <w:rFonts w:cs="Calibri" w:eastAsia="Calibri"/>
                <w:sz w:val="24"/>
                <w:szCs w:val="24"/>
              </w:rPr>
              <w:t xml:space="preserve">Programme d’assistance Humanitaire Wash et nutrition  </w:t>
            </w:r>
            <w:r>
              <w:rPr>
                <w:rFonts w:cs="Calibri" w:eastAsia="Calibri"/>
                <w:b/>
                <w:sz w:val="24"/>
                <w:szCs w:val="24"/>
              </w:rPr>
              <w:t>AMSS</w:t>
            </w:r>
            <w:r>
              <w:rPr>
                <w:rFonts w:cs="Calibri" w:eastAsia="Calibri"/>
                <w:sz w:val="24"/>
                <w:szCs w:val="24"/>
              </w:rPr>
              <w:t xml:space="preserve"> (Association Malien pour la Survie </w:t>
            </w:r>
            <w:r>
              <w:rPr>
                <w:rFonts w:cs="Calibri" w:eastAsia="Calibri"/>
                <w:sz w:val="24"/>
                <w:szCs w:val="24"/>
              </w:rPr>
              <w:t>auSahel</w:t>
            </w:r>
            <w:r>
              <w:rPr>
                <w:rFonts w:cs="Calibri" w:eastAsia="Calibri"/>
                <w:sz w:val="24"/>
                <w:szCs w:val="24"/>
              </w:rPr>
              <w:t xml:space="preserve">), financé par </w:t>
            </w:r>
            <w:r>
              <w:rPr>
                <w:rFonts w:cs="Calibri" w:eastAsia="Calibri"/>
                <w:sz w:val="24"/>
                <w:szCs w:val="24"/>
              </w:rPr>
              <w:t>WeltHungerHilfe</w:t>
            </w:r>
            <w:r>
              <w:rPr>
                <w:rFonts w:cs="Calibri" w:eastAsia="Calibri"/>
                <w:sz w:val="24"/>
                <w:szCs w:val="24"/>
              </w:rPr>
              <w:t xml:space="preserve">.      </w:t>
            </w:r>
          </w:p>
          <w:p>
            <w:pPr>
              <w:pStyle w:val="style0"/>
              <w:rPr>
                <w:rFonts w:cs="Calibri"/>
                <w:sz w:val="28"/>
                <w:szCs w:val="28"/>
              </w:rPr>
            </w:pPr>
          </w:p>
        </w:tc>
      </w:tr>
      <w:tr>
        <w:tblPrEx/>
        <w:trPr>
          <w:trHeight w:val="149" w:hRule="atLeast"/>
        </w:trPr>
        <w:tc>
          <w:tcPr>
            <w:tcW w:w="1956" w:type="dxa"/>
            <w:tcBorders/>
          </w:tcPr>
          <w:p>
            <w:pPr>
              <w:pStyle w:val="style0"/>
              <w:spacing w:after="200" w:lineRule="auto" w:line="276"/>
              <w:jc w:val="center"/>
              <w:rPr>
                <w:rFonts w:cs="Calibri" w:eastAsia="Calibri"/>
                <w:b/>
                <w:sz w:val="24"/>
                <w:szCs w:val="24"/>
              </w:rPr>
            </w:pPr>
            <w:r>
              <w:rPr>
                <w:rFonts w:cs="Calibri" w:eastAsia="Calibri"/>
                <w:b/>
                <w:sz w:val="24"/>
                <w:szCs w:val="24"/>
              </w:rPr>
              <w:t xml:space="preserve">Direction Régionale du Développement </w:t>
            </w:r>
            <w:r>
              <w:rPr>
                <w:rFonts w:cs="Calibri" w:eastAsia="Calibri"/>
                <w:b/>
                <w:sz w:val="24"/>
                <w:szCs w:val="24"/>
              </w:rPr>
              <w:t>SocialTombouctouGourma</w:t>
            </w:r>
            <w:r>
              <w:rPr>
                <w:rFonts w:cs="Calibri" w:eastAsia="Calibri"/>
                <w:b/>
                <w:sz w:val="24"/>
                <w:szCs w:val="24"/>
              </w:rPr>
              <w:t xml:space="preserve"> Rharous</w:t>
            </w:r>
          </w:p>
          <w:p>
            <w:pPr>
              <w:pStyle w:val="style0"/>
              <w:rPr>
                <w:rFonts w:cs="Calibri"/>
                <w:sz w:val="28"/>
                <w:szCs w:val="28"/>
              </w:rPr>
            </w:pPr>
          </w:p>
        </w:tc>
        <w:tc>
          <w:tcPr>
            <w:tcW w:w="1620" w:type="dxa"/>
            <w:tcBorders/>
          </w:tcPr>
          <w:p>
            <w:pPr>
              <w:pStyle w:val="style0"/>
              <w:spacing w:after="200" w:lineRule="auto" w:line="276"/>
              <w:rPr>
                <w:rFonts w:cs="Calibri"/>
                <w:b/>
                <w:sz w:val="24"/>
                <w:szCs w:val="24"/>
              </w:rPr>
            </w:pPr>
            <w:r>
              <w:rPr>
                <w:rFonts w:cs="Calibri" w:eastAsia="Calibri"/>
                <w:b/>
                <w:sz w:val="24"/>
                <w:szCs w:val="24"/>
              </w:rPr>
              <w:t>Du 15 Mai au 28 Juin 2015</w:t>
            </w:r>
          </w:p>
          <w:p>
            <w:pPr>
              <w:pStyle w:val="style0"/>
              <w:rPr>
                <w:rFonts w:cs="Calibri"/>
                <w:sz w:val="28"/>
                <w:szCs w:val="28"/>
              </w:rPr>
            </w:pPr>
          </w:p>
        </w:tc>
        <w:tc>
          <w:tcPr>
            <w:tcW w:w="6783" w:type="dxa"/>
            <w:tcBorders/>
          </w:tcPr>
          <w:p>
            <w:pPr>
              <w:pStyle w:val="style0"/>
              <w:numPr>
                <w:ilvl w:val="0"/>
                <w:numId w:val="15"/>
              </w:numPr>
              <w:contextualSpacing/>
              <w:rPr>
                <w:rFonts w:cs="Calibri"/>
                <w:sz w:val="24"/>
                <w:szCs w:val="24"/>
              </w:rPr>
            </w:pPr>
            <w:r>
              <w:rPr>
                <w:rFonts w:cs="Calibri" w:eastAsia="Calibri"/>
                <w:b/>
                <w:sz w:val="24"/>
                <w:szCs w:val="24"/>
              </w:rPr>
              <w:t>Enquêteur</w:t>
            </w:r>
            <w:r>
              <w:rPr>
                <w:rFonts w:cs="Calibri" w:eastAsia="Calibri"/>
                <w:sz w:val="24"/>
                <w:szCs w:val="24"/>
              </w:rPr>
              <w:t> : recenser le nombre des personnes déplacées, retournés dans le cercle de Gourma Rharous.</w:t>
            </w:r>
          </w:p>
          <w:p>
            <w:pPr>
              <w:pStyle w:val="style179"/>
              <w:numPr>
                <w:ilvl w:val="0"/>
                <w:numId w:val="20"/>
              </w:numPr>
              <w:rPr>
                <w:rFonts w:cs="Calibri"/>
                <w:sz w:val="24"/>
                <w:szCs w:val="24"/>
              </w:rPr>
            </w:pPr>
            <w:r>
              <w:rPr>
                <w:rFonts w:cs="Calibri"/>
                <w:sz w:val="24"/>
                <w:szCs w:val="24"/>
              </w:rPr>
              <w:t>Identifier les structures de de l’éducation, de santé dans les zones où sont installées les retournées, les rapatriés</w:t>
            </w:r>
          </w:p>
          <w:p>
            <w:pPr>
              <w:pStyle w:val="style0"/>
              <w:rPr>
                <w:rFonts w:cs="Calibri"/>
                <w:sz w:val="28"/>
                <w:szCs w:val="28"/>
              </w:rPr>
            </w:pPr>
          </w:p>
        </w:tc>
      </w:tr>
      <w:tr>
        <w:tblPrEx/>
        <w:trPr>
          <w:trHeight w:val="149" w:hRule="atLeast"/>
        </w:trPr>
        <w:tc>
          <w:tcPr>
            <w:tcW w:w="1956" w:type="dxa"/>
            <w:tcBorders/>
          </w:tcPr>
          <w:p>
            <w:pPr>
              <w:pStyle w:val="style0"/>
              <w:rPr>
                <w:rFonts w:cs="Calibri" w:eastAsia="Calibri"/>
                <w:b/>
                <w:sz w:val="24"/>
                <w:szCs w:val="24"/>
              </w:rPr>
            </w:pPr>
            <w:r>
              <w:rPr>
                <w:rFonts w:cs="Calibri" w:eastAsia="Calibri"/>
                <w:b/>
                <w:sz w:val="24"/>
                <w:szCs w:val="24"/>
              </w:rPr>
              <w:t xml:space="preserve">Initiative pour le Développement et la Promotion de l’Economie </w:t>
            </w:r>
            <w:r>
              <w:rPr>
                <w:rFonts w:cs="Calibri" w:eastAsia="Calibri"/>
                <w:b/>
                <w:sz w:val="24"/>
                <w:szCs w:val="24"/>
              </w:rPr>
              <w:t>Sociale(I.DE.P.E.</w:t>
            </w:r>
            <w:r>
              <w:rPr>
                <w:rFonts w:cs="Calibri" w:eastAsia="Calibri"/>
                <w:b/>
                <w:sz w:val="24"/>
                <w:szCs w:val="24"/>
              </w:rPr>
              <w:t>S</w:t>
            </w:r>
            <w:r>
              <w:rPr>
                <w:rFonts w:cs="Calibri" w:eastAsia="Calibri"/>
                <w:b/>
                <w:sz w:val="24"/>
                <w:szCs w:val="24"/>
              </w:rPr>
              <w:t>)</w:t>
            </w:r>
          </w:p>
          <w:p>
            <w:pPr>
              <w:pStyle w:val="style0"/>
              <w:rPr>
                <w:rFonts w:cs="Calibri"/>
                <w:b/>
                <w:sz w:val="24"/>
                <w:szCs w:val="24"/>
              </w:rPr>
            </w:pPr>
            <w:r>
              <w:rPr>
                <w:rFonts w:cs="Calibri" w:eastAsia="Calibri"/>
                <w:b/>
                <w:sz w:val="24"/>
                <w:szCs w:val="24"/>
              </w:rPr>
              <w:t>Tombouctou</w:t>
            </w:r>
          </w:p>
          <w:p>
            <w:pPr>
              <w:pStyle w:val="style0"/>
              <w:rPr>
                <w:rFonts w:cs="Calibri"/>
                <w:sz w:val="28"/>
                <w:szCs w:val="28"/>
              </w:rPr>
            </w:pPr>
          </w:p>
        </w:tc>
        <w:tc>
          <w:tcPr>
            <w:tcW w:w="1620" w:type="dxa"/>
            <w:tcBorders/>
          </w:tcPr>
          <w:p>
            <w:pPr>
              <w:pStyle w:val="style0"/>
              <w:rPr>
                <w:rFonts w:cs="Calibri"/>
                <w:sz w:val="28"/>
                <w:szCs w:val="28"/>
              </w:rPr>
            </w:pPr>
            <w:r>
              <w:rPr>
                <w:rFonts w:cs="Calibri" w:eastAsia="Calibri"/>
                <w:b/>
                <w:sz w:val="24"/>
                <w:szCs w:val="24"/>
              </w:rPr>
              <w:t>Février 2014 à Février 2015</w:t>
            </w:r>
          </w:p>
        </w:tc>
        <w:tc>
          <w:tcPr>
            <w:tcW w:w="6783" w:type="dxa"/>
            <w:tcBorders/>
          </w:tcPr>
          <w:p>
            <w:pPr>
              <w:pStyle w:val="style0"/>
              <w:numPr>
                <w:ilvl w:val="0"/>
                <w:numId w:val="15"/>
              </w:numPr>
              <w:contextualSpacing/>
              <w:rPr>
                <w:rFonts w:cs="Calibri"/>
                <w:b/>
                <w:sz w:val="24"/>
                <w:szCs w:val="24"/>
              </w:rPr>
            </w:pPr>
            <w:r>
              <w:rPr>
                <w:rFonts w:cs="Calibri" w:eastAsia="Calibri"/>
                <w:b/>
                <w:sz w:val="24"/>
                <w:szCs w:val="24"/>
              </w:rPr>
              <w:t>Formateur en VBG violence basé sur le genre :</w:t>
            </w:r>
          </w:p>
          <w:p>
            <w:pPr>
              <w:pStyle w:val="style179"/>
              <w:numPr>
                <w:ilvl w:val="0"/>
                <w:numId w:val="21"/>
              </w:numPr>
              <w:rPr>
                <w:rFonts w:cs="Calibri"/>
                <w:sz w:val="24"/>
                <w:szCs w:val="24"/>
              </w:rPr>
            </w:pPr>
            <w:r>
              <w:rPr>
                <w:rFonts w:cs="Calibri"/>
                <w:sz w:val="24"/>
                <w:szCs w:val="24"/>
              </w:rPr>
              <w:t xml:space="preserve">Renforcer les savoirs et les compétences des professionnels de l’écoute, en matière d’aide et d’accompagnement des victimes.  </w:t>
            </w:r>
          </w:p>
          <w:p>
            <w:pPr>
              <w:pStyle w:val="style179"/>
              <w:numPr>
                <w:ilvl w:val="0"/>
                <w:numId w:val="21"/>
              </w:numPr>
              <w:rPr>
                <w:rFonts w:cs="Calibri"/>
                <w:sz w:val="24"/>
                <w:szCs w:val="24"/>
              </w:rPr>
            </w:pPr>
            <w:r>
              <w:rPr>
                <w:rFonts w:cs="Calibri"/>
                <w:sz w:val="24"/>
                <w:szCs w:val="24"/>
              </w:rPr>
              <w:t xml:space="preserve">De donner un fondement théorique à leur pratique, en leur exposant les principales approches théoriques guidant la relation d’aide.   </w:t>
            </w:r>
          </w:p>
          <w:p>
            <w:pPr>
              <w:pStyle w:val="style179"/>
              <w:numPr>
                <w:ilvl w:val="0"/>
                <w:numId w:val="21"/>
              </w:numPr>
              <w:rPr>
                <w:rFonts w:cs="Calibri"/>
                <w:sz w:val="24"/>
                <w:szCs w:val="24"/>
              </w:rPr>
            </w:pPr>
            <w:r>
              <w:rPr>
                <w:rFonts w:cs="Calibri"/>
                <w:sz w:val="24"/>
                <w:szCs w:val="24"/>
              </w:rPr>
              <w:t xml:space="preserve">De les doter des principes, des outils et des techniques nécessaires à la conduction d’une relation d’aide. Mieux appréhender les mécanismes de la violence et leur action sur les victimes.  </w:t>
            </w:r>
          </w:p>
          <w:p>
            <w:pPr>
              <w:pStyle w:val="style179"/>
              <w:numPr>
                <w:ilvl w:val="0"/>
                <w:numId w:val="21"/>
              </w:numPr>
              <w:rPr>
                <w:rFonts w:cs="Calibri"/>
                <w:sz w:val="24"/>
                <w:szCs w:val="24"/>
              </w:rPr>
            </w:pPr>
            <w:r>
              <w:rPr>
                <w:rFonts w:cs="Calibri"/>
                <w:sz w:val="24"/>
                <w:szCs w:val="24"/>
              </w:rPr>
              <w:t xml:space="preserve">S’appuyer sur des éléments d’analyse pour mieux adapter leur intervention. </w:t>
            </w:r>
          </w:p>
          <w:p>
            <w:pPr>
              <w:pStyle w:val="style179"/>
              <w:numPr>
                <w:ilvl w:val="0"/>
                <w:numId w:val="21"/>
              </w:numPr>
              <w:rPr>
                <w:rFonts w:cs="Calibri"/>
                <w:sz w:val="28"/>
                <w:szCs w:val="28"/>
              </w:rPr>
            </w:pPr>
            <w:r>
              <w:rPr>
                <w:rFonts w:cs="Calibri"/>
                <w:sz w:val="24"/>
                <w:szCs w:val="24"/>
              </w:rPr>
              <w:t xml:space="preserve">Trouver un rappel des démarches que doivent effectuer les victimes et des aspects juridiques et médico-légaux les plus fréquemment évoqués dans ces situations.  </w:t>
            </w:r>
          </w:p>
        </w:tc>
      </w:tr>
      <w:tr>
        <w:tblPrEx/>
        <w:trPr>
          <w:trHeight w:val="149" w:hRule="atLeast"/>
        </w:trPr>
        <w:tc>
          <w:tcPr>
            <w:tcW w:w="1956" w:type="dxa"/>
            <w:tcBorders/>
          </w:tcPr>
          <w:p>
            <w:pPr>
              <w:pStyle w:val="style0"/>
              <w:jc w:val="center"/>
              <w:contextualSpacing/>
              <w:rPr>
                <w:rFonts w:cs="Calibri"/>
                <w:b/>
                <w:sz w:val="24"/>
                <w:szCs w:val="24"/>
              </w:rPr>
            </w:pPr>
            <w:r>
              <w:rPr>
                <w:rFonts w:cs="Calibri" w:eastAsia="Calibri"/>
                <w:b/>
                <w:sz w:val="24"/>
                <w:szCs w:val="24"/>
              </w:rPr>
              <w:t xml:space="preserve">Centre de </w:t>
            </w:r>
            <w:r>
              <w:rPr>
                <w:rFonts w:cs="Calibri" w:eastAsia="Calibri"/>
                <w:b/>
                <w:sz w:val="24"/>
                <w:szCs w:val="24"/>
              </w:rPr>
              <w:t xml:space="preserve">Formation Polytechnique Rural                          </w:t>
            </w:r>
            <w:r>
              <w:rPr>
                <w:rFonts w:cs="Calibri" w:eastAsia="Calibri"/>
                <w:b/>
                <w:sz w:val="24"/>
                <w:szCs w:val="24"/>
              </w:rPr>
              <w:t xml:space="preserve"> Kita</w:t>
            </w:r>
          </w:p>
          <w:p>
            <w:pPr>
              <w:pStyle w:val="style0"/>
              <w:rPr>
                <w:rFonts w:cs="Calibri"/>
                <w:sz w:val="28"/>
                <w:szCs w:val="28"/>
              </w:rPr>
            </w:pPr>
          </w:p>
        </w:tc>
        <w:tc>
          <w:tcPr>
            <w:tcW w:w="1620" w:type="dxa"/>
            <w:tcBorders/>
          </w:tcPr>
          <w:p>
            <w:pPr>
              <w:pStyle w:val="style0"/>
              <w:rPr>
                <w:rFonts w:cs="Calibri"/>
                <w:sz w:val="28"/>
                <w:szCs w:val="28"/>
              </w:rPr>
            </w:pPr>
            <w:r>
              <w:rPr>
                <w:rFonts w:cs="Calibri" w:eastAsia="Calibri"/>
                <w:b/>
                <w:sz w:val="24"/>
                <w:szCs w:val="24"/>
              </w:rPr>
              <w:t xml:space="preserve">D’Octobre  2011  à  Février  2013  </w:t>
            </w:r>
          </w:p>
        </w:tc>
        <w:tc>
          <w:tcPr>
            <w:tcW w:w="6783" w:type="dxa"/>
            <w:tcBorders/>
          </w:tcPr>
          <w:p>
            <w:pPr>
              <w:pStyle w:val="style179"/>
              <w:numPr>
                <w:ilvl w:val="0"/>
                <w:numId w:val="7"/>
              </w:numPr>
              <w:ind w:left="502"/>
              <w:rPr>
                <w:rFonts w:cs="Calibri" w:eastAsia="Calibri"/>
                <w:b/>
                <w:sz w:val="24"/>
                <w:szCs w:val="24"/>
              </w:rPr>
            </w:pPr>
            <w:r>
              <w:rPr>
                <w:rFonts w:cs="Calibri" w:eastAsia="Calibri"/>
                <w:b/>
                <w:sz w:val="24"/>
                <w:szCs w:val="24"/>
              </w:rPr>
              <w:t>Directeurdes</w:t>
            </w:r>
            <w:r>
              <w:rPr>
                <w:rFonts w:cs="Calibri" w:eastAsia="Calibri"/>
                <w:b/>
                <w:sz w:val="24"/>
                <w:szCs w:val="24"/>
              </w:rPr>
              <w:t xml:space="preserve"> Etudes</w:t>
            </w:r>
            <w:r>
              <w:rPr>
                <w:rFonts w:cs="Calibri" w:eastAsia="Calibri"/>
                <w:sz w:val="24"/>
                <w:szCs w:val="24"/>
              </w:rPr>
              <w:t> :</w:t>
            </w:r>
          </w:p>
          <w:p>
            <w:pPr>
              <w:pStyle w:val="style179"/>
              <w:numPr>
                <w:ilvl w:val="0"/>
                <w:numId w:val="23"/>
              </w:numPr>
              <w:rPr>
                <w:rFonts w:cs="Calibri" w:eastAsia="Calibri"/>
                <w:sz w:val="24"/>
                <w:szCs w:val="24"/>
              </w:rPr>
            </w:pPr>
            <w:r>
              <w:rPr>
                <w:rFonts w:cs="Calibri" w:eastAsia="Calibri"/>
                <w:sz w:val="24"/>
                <w:szCs w:val="24"/>
              </w:rPr>
              <w:t>Organiser et planifier le calendrier des enseignants</w:t>
            </w:r>
          </w:p>
          <w:p>
            <w:pPr>
              <w:pStyle w:val="style179"/>
              <w:numPr>
                <w:ilvl w:val="0"/>
                <w:numId w:val="23"/>
              </w:numPr>
              <w:rPr>
                <w:rFonts w:cs="Calibri" w:eastAsia="Calibri"/>
                <w:sz w:val="24"/>
                <w:szCs w:val="24"/>
              </w:rPr>
            </w:pPr>
            <w:r>
              <w:rPr>
                <w:rFonts w:cs="Calibri" w:eastAsia="Calibri"/>
                <w:sz w:val="24"/>
                <w:szCs w:val="24"/>
              </w:rPr>
              <w:t xml:space="preserve">Veillez au bon fonctionnement du centre </w:t>
            </w:r>
          </w:p>
          <w:p>
            <w:pPr>
              <w:pStyle w:val="style179"/>
              <w:numPr>
                <w:ilvl w:val="0"/>
                <w:numId w:val="23"/>
              </w:numPr>
              <w:rPr>
                <w:rFonts w:cs="Calibri"/>
                <w:sz w:val="28"/>
                <w:szCs w:val="28"/>
              </w:rPr>
            </w:pPr>
            <w:r>
              <w:rPr>
                <w:rFonts w:cs="Calibri" w:eastAsia="Calibri"/>
                <w:sz w:val="24"/>
                <w:szCs w:val="24"/>
              </w:rPr>
              <w:t>Veiller aux respects des statuts et règlements du centre</w:t>
            </w:r>
          </w:p>
        </w:tc>
      </w:tr>
    </w:tbl>
    <w:p>
      <w:pPr>
        <w:pStyle w:val="style0"/>
        <w:jc w:val="center"/>
        <w:rPr>
          <w:rFonts w:cs="Calibri"/>
        </w:rPr>
      </w:pPr>
      <w:r>
        <w:rPr>
          <w:rFonts w:cs="Calibri"/>
          <w:b/>
          <w:sz w:val="28"/>
          <w:szCs w:val="28"/>
          <w:u w:val="single"/>
        </w:rPr>
        <w:t>C-SEMINAIRE &amp; FORMATION</w:t>
      </w:r>
      <w:r>
        <w:rPr>
          <w:rFonts w:cs="Calibri"/>
        </w:rPr>
        <w:t> :</w:t>
      </w:r>
    </w:p>
    <w:tbl>
      <w:tblPr>
        <w:tblStyle w:val="style154"/>
        <w:tblW w:w="10327" w:type="dxa"/>
        <w:tblInd w:w="-318" w:type="dxa"/>
        <w:tblLook w:val="04A0" w:firstRow="1" w:lastRow="0" w:firstColumn="1" w:lastColumn="0" w:noHBand="0" w:noVBand="1"/>
      </w:tblPr>
      <w:tblGrid>
        <w:gridCol w:w="2350"/>
        <w:gridCol w:w="1568"/>
        <w:gridCol w:w="6410"/>
      </w:tblGrid>
      <w:tr>
        <w:trPr>
          <w:trHeight w:val="805" w:hRule="atLeast"/>
        </w:trPr>
        <w:tc>
          <w:tcPr>
            <w:tcW w:w="2351" w:type="dxa"/>
            <w:tcBorders/>
          </w:tcPr>
          <w:p>
            <w:pPr>
              <w:pStyle w:val="style0"/>
              <w:rPr>
                <w:rFonts w:cs="Calibri"/>
                <w:b/>
                <w:sz w:val="28"/>
                <w:szCs w:val="28"/>
              </w:rPr>
            </w:pPr>
            <w:r>
              <w:rPr>
                <w:rFonts w:cs="Calibri"/>
                <w:b/>
                <w:sz w:val="28"/>
                <w:szCs w:val="28"/>
              </w:rPr>
              <w:t>ADRA-Norvège</w:t>
            </w:r>
          </w:p>
        </w:tc>
        <w:tc>
          <w:tcPr>
            <w:tcW w:w="1554" w:type="dxa"/>
            <w:tcBorders/>
          </w:tcPr>
          <w:p>
            <w:pPr>
              <w:pStyle w:val="style0"/>
              <w:rPr>
                <w:rFonts w:cs="Calibri"/>
                <w:b/>
                <w:sz w:val="28"/>
                <w:szCs w:val="28"/>
              </w:rPr>
            </w:pPr>
            <w:r>
              <w:rPr>
                <w:rFonts w:cs="Calibri"/>
                <w:b/>
                <w:sz w:val="28"/>
                <w:szCs w:val="28"/>
              </w:rPr>
              <w:t>2 au 4/2/ 2021</w:t>
            </w:r>
          </w:p>
        </w:tc>
        <w:tc>
          <w:tcPr>
            <w:tcW w:w="6422" w:type="dxa"/>
            <w:tcBorders/>
          </w:tcPr>
          <w:p>
            <w:pPr>
              <w:pStyle w:val="style179"/>
              <w:ind w:left="502"/>
              <w:rPr>
                <w:rFonts w:cs="Calibri"/>
                <w:b/>
                <w:sz w:val="24"/>
                <w:szCs w:val="24"/>
              </w:rPr>
            </w:pPr>
            <w:r>
              <w:rPr>
                <w:rFonts w:cs="Calibri"/>
                <w:b/>
                <w:sz w:val="24"/>
                <w:szCs w:val="24"/>
              </w:rPr>
              <w:t>Formation sur les disciplines positives et les châtiments corporels</w:t>
            </w:r>
          </w:p>
        </w:tc>
      </w:tr>
      <w:tr>
        <w:tblPrEx/>
        <w:trPr>
          <w:trHeight w:val="805" w:hRule="atLeast"/>
        </w:trPr>
        <w:tc>
          <w:tcPr>
            <w:tcW w:w="2351" w:type="dxa"/>
            <w:tcBorders/>
          </w:tcPr>
          <w:p>
            <w:pPr>
              <w:pStyle w:val="style0"/>
              <w:rPr>
                <w:rFonts w:cs="Calibri"/>
                <w:b/>
                <w:sz w:val="28"/>
                <w:szCs w:val="28"/>
              </w:rPr>
            </w:pPr>
            <w:r>
              <w:rPr>
                <w:rFonts w:cs="Calibri"/>
                <w:b/>
                <w:sz w:val="28"/>
                <w:szCs w:val="28"/>
              </w:rPr>
              <w:t>Gardl</w:t>
            </w:r>
          </w:p>
        </w:tc>
        <w:tc>
          <w:tcPr>
            <w:tcW w:w="1554" w:type="dxa"/>
            <w:tcBorders/>
          </w:tcPr>
          <w:p>
            <w:pPr>
              <w:pStyle w:val="style0"/>
              <w:rPr>
                <w:rFonts w:cs="Calibri"/>
                <w:b/>
                <w:sz w:val="28"/>
                <w:szCs w:val="28"/>
              </w:rPr>
            </w:pPr>
            <w:r>
              <w:rPr>
                <w:rFonts w:cs="Calibri"/>
                <w:b/>
                <w:sz w:val="28"/>
                <w:szCs w:val="28"/>
              </w:rPr>
              <w:t>27 au 5 février 2020</w:t>
            </w:r>
          </w:p>
        </w:tc>
        <w:tc>
          <w:tcPr>
            <w:tcW w:w="6422" w:type="dxa"/>
            <w:tcBorders/>
          </w:tcPr>
          <w:p>
            <w:pPr>
              <w:pStyle w:val="style179"/>
              <w:ind w:left="502"/>
              <w:rPr>
                <w:rFonts w:cs="Calibri"/>
                <w:b/>
                <w:sz w:val="24"/>
                <w:szCs w:val="24"/>
              </w:rPr>
            </w:pPr>
            <w:r>
              <w:rPr>
                <w:rFonts w:cs="Calibri"/>
                <w:b/>
                <w:sz w:val="24"/>
                <w:szCs w:val="24"/>
              </w:rPr>
              <w:t xml:space="preserve">Formation sur la protection des </w:t>
            </w:r>
            <w:r>
              <w:rPr>
                <w:rFonts w:cs="Calibri"/>
                <w:b/>
                <w:sz w:val="24"/>
                <w:szCs w:val="24"/>
              </w:rPr>
              <w:t xml:space="preserve">enfants </w:t>
            </w:r>
            <w:r>
              <w:rPr>
                <w:rFonts w:cs="Calibri"/>
                <w:b/>
                <w:sz w:val="24"/>
                <w:szCs w:val="24"/>
              </w:rPr>
              <w:t>(</w:t>
            </w:r>
            <w:r>
              <w:rPr>
                <w:rFonts w:cs="Calibri"/>
                <w:b/>
                <w:sz w:val="24"/>
                <w:szCs w:val="24"/>
              </w:rPr>
              <w:t xml:space="preserve"> droits</w:t>
            </w:r>
            <w:r>
              <w:rPr>
                <w:rFonts w:cs="Calibri"/>
                <w:b/>
                <w:sz w:val="24"/>
                <w:szCs w:val="24"/>
              </w:rPr>
              <w:t>, changement de comportement, MRM ,dialogue communautaire=</w:t>
            </w:r>
          </w:p>
        </w:tc>
      </w:tr>
      <w:tr>
        <w:tblPrEx/>
        <w:trPr>
          <w:trHeight w:val="805" w:hRule="atLeast"/>
        </w:trPr>
        <w:tc>
          <w:tcPr>
            <w:tcW w:w="2351" w:type="dxa"/>
            <w:tcBorders/>
          </w:tcPr>
          <w:p>
            <w:pPr>
              <w:pStyle w:val="style0"/>
              <w:rPr>
                <w:rFonts w:cs="Calibri"/>
                <w:b/>
                <w:sz w:val="28"/>
                <w:szCs w:val="28"/>
              </w:rPr>
            </w:pPr>
            <w:r>
              <w:rPr>
                <w:rFonts w:cs="Calibri"/>
                <w:b/>
                <w:sz w:val="28"/>
                <w:szCs w:val="28"/>
              </w:rPr>
              <w:t>UNDSS</w:t>
            </w:r>
          </w:p>
        </w:tc>
        <w:tc>
          <w:tcPr>
            <w:tcW w:w="1554" w:type="dxa"/>
            <w:tcBorders/>
          </w:tcPr>
          <w:p>
            <w:pPr>
              <w:pStyle w:val="style0"/>
              <w:rPr>
                <w:rFonts w:cs="Calibri"/>
                <w:b/>
                <w:sz w:val="28"/>
                <w:szCs w:val="28"/>
              </w:rPr>
            </w:pPr>
            <w:r>
              <w:rPr>
                <w:rFonts w:cs="Calibri"/>
                <w:b/>
                <w:sz w:val="28"/>
                <w:szCs w:val="28"/>
              </w:rPr>
              <w:t>8/11/2019</w:t>
            </w:r>
          </w:p>
        </w:tc>
        <w:tc>
          <w:tcPr>
            <w:tcW w:w="6422" w:type="dxa"/>
            <w:tcBorders/>
          </w:tcPr>
          <w:p>
            <w:pPr>
              <w:pStyle w:val="style179"/>
              <w:numPr>
                <w:ilvl w:val="0"/>
                <w:numId w:val="7"/>
              </w:numPr>
              <w:ind w:left="502"/>
              <w:rPr>
                <w:rFonts w:cs="Calibri"/>
                <w:b/>
                <w:sz w:val="24"/>
                <w:szCs w:val="24"/>
              </w:rPr>
            </w:pPr>
            <w:r>
              <w:rPr>
                <w:rFonts w:cs="Calibri"/>
                <w:b/>
                <w:sz w:val="24"/>
                <w:szCs w:val="24"/>
              </w:rPr>
              <w:t>Formation sur les incendies et BASFE</w:t>
            </w:r>
          </w:p>
        </w:tc>
      </w:tr>
      <w:tr>
        <w:tblPrEx/>
        <w:trPr>
          <w:trHeight w:val="1680" w:hRule="atLeast"/>
        </w:trPr>
        <w:tc>
          <w:tcPr>
            <w:tcW w:w="2351" w:type="dxa"/>
            <w:tcBorders/>
          </w:tcPr>
          <w:p>
            <w:pPr>
              <w:pStyle w:val="style0"/>
              <w:rPr>
                <w:rFonts w:cs="Calibri"/>
                <w:b/>
                <w:sz w:val="28"/>
                <w:szCs w:val="28"/>
              </w:rPr>
            </w:pPr>
            <w:r>
              <w:rPr>
                <w:rFonts w:cs="Calibri"/>
                <w:b/>
                <w:sz w:val="28"/>
                <w:szCs w:val="28"/>
              </w:rPr>
              <w:t>Organisation Internationale pour les Migration Tombouctou</w:t>
            </w:r>
          </w:p>
        </w:tc>
        <w:tc>
          <w:tcPr>
            <w:tcW w:w="1554" w:type="dxa"/>
            <w:tcBorders/>
          </w:tcPr>
          <w:p>
            <w:pPr>
              <w:pStyle w:val="style0"/>
              <w:rPr>
                <w:rFonts w:cs="Calibri"/>
                <w:b/>
                <w:sz w:val="28"/>
                <w:szCs w:val="28"/>
              </w:rPr>
            </w:pPr>
            <w:r>
              <w:rPr>
                <w:rFonts w:cs="Calibri"/>
                <w:b/>
                <w:sz w:val="28"/>
                <w:szCs w:val="28"/>
              </w:rPr>
              <w:t>10/7/2019</w:t>
            </w:r>
          </w:p>
          <w:p>
            <w:pPr>
              <w:pStyle w:val="style0"/>
              <w:rPr>
                <w:rFonts w:cs="Calibri"/>
                <w:b/>
                <w:sz w:val="28"/>
                <w:szCs w:val="28"/>
              </w:rPr>
            </w:pPr>
          </w:p>
          <w:p>
            <w:pPr>
              <w:pStyle w:val="style0"/>
              <w:rPr>
                <w:rFonts w:cs="Calibri"/>
                <w:b/>
                <w:sz w:val="28"/>
                <w:szCs w:val="28"/>
              </w:rPr>
            </w:pPr>
          </w:p>
          <w:p>
            <w:pPr>
              <w:pStyle w:val="style0"/>
              <w:rPr>
                <w:rFonts w:cs="Calibri"/>
                <w:b/>
                <w:sz w:val="28"/>
                <w:szCs w:val="28"/>
              </w:rPr>
            </w:pPr>
          </w:p>
          <w:p>
            <w:pPr>
              <w:pStyle w:val="style0"/>
              <w:rPr>
                <w:rFonts w:cs="Calibri"/>
                <w:b/>
                <w:sz w:val="28"/>
                <w:szCs w:val="28"/>
              </w:rPr>
            </w:pPr>
          </w:p>
        </w:tc>
        <w:tc>
          <w:tcPr>
            <w:tcW w:w="6422" w:type="dxa"/>
            <w:tcBorders/>
          </w:tcPr>
          <w:p>
            <w:pPr>
              <w:pStyle w:val="style179"/>
              <w:numPr>
                <w:ilvl w:val="0"/>
                <w:numId w:val="7"/>
              </w:numPr>
              <w:ind w:left="502"/>
              <w:rPr>
                <w:rFonts w:cs="Calibri"/>
                <w:b/>
                <w:sz w:val="24"/>
                <w:szCs w:val="24"/>
              </w:rPr>
            </w:pPr>
            <w:r>
              <w:rPr>
                <w:rFonts w:cs="Calibri"/>
                <w:b/>
                <w:sz w:val="24"/>
                <w:szCs w:val="24"/>
              </w:rPr>
              <w:t>Formation sur les EAS Exploitations et Abus Sexuels</w:t>
            </w:r>
          </w:p>
          <w:p>
            <w:pPr>
              <w:pStyle w:val="style179"/>
              <w:ind w:left="502"/>
              <w:rPr>
                <w:rFonts w:cs="Calibri"/>
                <w:b/>
                <w:sz w:val="24"/>
                <w:szCs w:val="24"/>
              </w:rPr>
            </w:pPr>
          </w:p>
          <w:p>
            <w:pPr>
              <w:pStyle w:val="style179"/>
              <w:ind w:left="502"/>
              <w:rPr>
                <w:rFonts w:cs="Calibri"/>
                <w:b/>
                <w:sz w:val="24"/>
                <w:szCs w:val="24"/>
              </w:rPr>
            </w:pPr>
          </w:p>
          <w:p>
            <w:pPr>
              <w:pStyle w:val="style179"/>
              <w:ind w:left="502"/>
              <w:rPr>
                <w:rFonts w:cs="Calibri"/>
                <w:sz w:val="24"/>
                <w:szCs w:val="24"/>
              </w:rPr>
            </w:pPr>
          </w:p>
          <w:p>
            <w:pPr>
              <w:pStyle w:val="style179"/>
              <w:ind w:left="502"/>
              <w:rPr>
                <w:rFonts w:cs="Calibri"/>
                <w:sz w:val="24"/>
                <w:szCs w:val="24"/>
              </w:rPr>
            </w:pPr>
          </w:p>
          <w:p>
            <w:pPr>
              <w:pStyle w:val="style179"/>
              <w:ind w:left="502"/>
              <w:rPr>
                <w:rFonts w:cs="Calibri"/>
                <w:sz w:val="28"/>
                <w:szCs w:val="28"/>
              </w:rPr>
            </w:pPr>
          </w:p>
        </w:tc>
      </w:tr>
      <w:tr>
        <w:tblPrEx/>
        <w:trPr>
          <w:trHeight w:val="6825" w:hRule="atLeast"/>
        </w:trPr>
        <w:tc>
          <w:tcPr>
            <w:tcW w:w="2351" w:type="dxa"/>
            <w:tcBorders/>
          </w:tcPr>
          <w:p>
            <w:pPr>
              <w:pStyle w:val="style0"/>
              <w:rPr>
                <w:rFonts w:cs="Calibri"/>
                <w:b/>
                <w:sz w:val="28"/>
                <w:szCs w:val="28"/>
              </w:rPr>
            </w:pPr>
            <w:r>
              <w:rPr>
                <w:rFonts w:cs="Calibri"/>
                <w:b/>
                <w:sz w:val="28"/>
                <w:szCs w:val="28"/>
              </w:rPr>
              <w:t>Organisation Internationale pour les Migration Tombouctou</w:t>
            </w:r>
          </w:p>
          <w:p>
            <w:pPr>
              <w:pStyle w:val="style0"/>
              <w:rPr>
                <w:rFonts w:cs="Calibri"/>
                <w:b/>
                <w:sz w:val="28"/>
                <w:szCs w:val="28"/>
              </w:rPr>
            </w:pPr>
          </w:p>
          <w:p>
            <w:pPr>
              <w:pStyle w:val="style0"/>
              <w:rPr>
                <w:rFonts w:cs="Calibri"/>
                <w:b/>
                <w:sz w:val="28"/>
                <w:szCs w:val="28"/>
              </w:rPr>
            </w:pPr>
            <w:r>
              <w:rPr>
                <w:rFonts w:cs="Calibri"/>
                <w:b/>
                <w:sz w:val="28"/>
                <w:szCs w:val="28"/>
              </w:rPr>
              <w:tab/>
            </w:r>
          </w:p>
        </w:tc>
        <w:tc>
          <w:tcPr>
            <w:tcW w:w="1554" w:type="dxa"/>
            <w:tcBorders/>
          </w:tcPr>
          <w:p>
            <w:pPr>
              <w:pStyle w:val="style0"/>
              <w:rPr>
                <w:rFonts w:cs="Calibri"/>
                <w:b/>
                <w:sz w:val="28"/>
                <w:szCs w:val="28"/>
              </w:rPr>
            </w:pPr>
            <w:r>
              <w:rPr>
                <w:rFonts w:cs="Calibri"/>
                <w:b/>
                <w:sz w:val="28"/>
                <w:szCs w:val="28"/>
              </w:rPr>
              <w:t>Du 6 au 7 Novembre 2018</w:t>
            </w:r>
          </w:p>
        </w:tc>
        <w:tc>
          <w:tcPr>
            <w:tcW w:w="6422" w:type="dxa"/>
            <w:tcBorders/>
          </w:tcPr>
          <w:p>
            <w:pPr>
              <w:pStyle w:val="style0"/>
              <w:rPr>
                <w:rFonts w:cs="Calibri"/>
                <w:sz w:val="24"/>
                <w:szCs w:val="24"/>
              </w:rPr>
            </w:pPr>
            <w:r>
              <w:rPr>
                <w:rFonts w:cs="Calibri"/>
                <w:b/>
                <w:sz w:val="24"/>
                <w:szCs w:val="24"/>
              </w:rPr>
              <w:t>Formation sur les premiers secours psychologiques des migrants</w:t>
            </w:r>
            <w:r>
              <w:rPr>
                <w:rFonts w:cs="Calibri"/>
                <w:sz w:val="24"/>
                <w:szCs w:val="24"/>
              </w:rPr>
              <w:t> :</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Définition de Premiers Secours Psychologiques (PSP)</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Comprendre la place des PSP dans le système global de soutien</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Les PSP: pourquoi, pour qui, quand, par qui et où?</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 xml:space="preserve">Quand les migrants de retour ont besoin d’un soutien plus spécialisé </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Les principes d’action des PSP</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La communication efficace avec les migrants de retour et le soutien social</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mn-ea"/>
                <w:color w:val="000000"/>
                <w:kern w:val="24"/>
                <w:sz w:val="24"/>
                <w:szCs w:val="24"/>
                <w:lang w:eastAsia="fr-FR"/>
              </w:rPr>
              <w:t>Prendre soin de soi, de sa famille et de ses collègues</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Définition de Premiers Secours Psychologiques (PSP)</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Comprendre la place des PSP dans le système global de soutien</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Les PSP: pourquoi, pour qui, quand, par qui et où?</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 xml:space="preserve">Quand les migrants de retour ont besoin d’un soutien plus spécialisé </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Les principes d’action des PSP</w:t>
            </w:r>
          </w:p>
          <w:p>
            <w:pPr>
              <w:pStyle w:val="style179"/>
              <w:numPr>
                <w:ilvl w:val="0"/>
                <w:numId w:val="25"/>
              </w:numPr>
              <w:kinsoku w:val="false"/>
              <w:overflowPunct w:val="false"/>
              <w:textAlignment w:val="baseline"/>
              <w:rPr>
                <w:rFonts w:cs="Calibri" w:eastAsia="Times New Roman"/>
                <w:sz w:val="24"/>
                <w:szCs w:val="24"/>
                <w:lang w:eastAsia="fr-FR"/>
              </w:rPr>
            </w:pPr>
            <w:r>
              <w:rPr>
                <w:rFonts w:cs="Calibri" w:eastAsia="Times New Roman"/>
                <w:sz w:val="24"/>
                <w:szCs w:val="24"/>
                <w:lang w:eastAsia="fr-FR"/>
              </w:rPr>
              <w:t>La communication efficace avec les migrants de retour et le soutien social</w:t>
            </w:r>
          </w:p>
          <w:p>
            <w:pPr>
              <w:pStyle w:val="style179"/>
              <w:numPr>
                <w:ilvl w:val="0"/>
                <w:numId w:val="25"/>
              </w:numPr>
              <w:rPr>
                <w:rFonts w:cs="Calibri"/>
                <w:sz w:val="24"/>
                <w:szCs w:val="24"/>
              </w:rPr>
            </w:pPr>
            <w:r>
              <w:rPr>
                <w:rFonts w:cs="Calibri" w:eastAsia="Times New Roman"/>
                <w:sz w:val="24"/>
                <w:szCs w:val="24"/>
                <w:lang w:eastAsia="fr-FR"/>
              </w:rPr>
              <w:t>Prendre soin de soi, de sa famille et de ses collègues.</w:t>
            </w:r>
          </w:p>
        </w:tc>
      </w:tr>
      <w:tr>
        <w:tblPrEx/>
        <w:trPr>
          <w:trHeight w:val="351" w:hRule="atLeast"/>
        </w:trPr>
        <w:tc>
          <w:tcPr>
            <w:tcW w:w="2351" w:type="dxa"/>
            <w:tcBorders/>
          </w:tcPr>
          <w:p>
            <w:pPr>
              <w:pStyle w:val="style0"/>
              <w:rPr>
                <w:rFonts w:cs="Calibri"/>
                <w:sz w:val="28"/>
                <w:szCs w:val="28"/>
              </w:rPr>
            </w:pPr>
            <w:r>
              <w:rPr>
                <w:rFonts w:cs="Calibri"/>
                <w:b/>
                <w:sz w:val="24"/>
                <w:szCs w:val="24"/>
              </w:rPr>
              <w:t>Protection civile Tombouctou</w:t>
            </w:r>
          </w:p>
        </w:tc>
        <w:tc>
          <w:tcPr>
            <w:tcW w:w="1554" w:type="dxa"/>
            <w:tcBorders/>
          </w:tcPr>
          <w:p>
            <w:pPr>
              <w:pStyle w:val="style0"/>
              <w:rPr>
                <w:rFonts w:cs="Calibri"/>
                <w:sz w:val="28"/>
                <w:szCs w:val="28"/>
              </w:rPr>
            </w:pPr>
            <w:r>
              <w:rPr>
                <w:rFonts w:cs="Calibri"/>
                <w:b/>
                <w:sz w:val="24"/>
                <w:szCs w:val="24"/>
              </w:rPr>
              <w:t>4 Avril 2018</w:t>
            </w:r>
          </w:p>
        </w:tc>
        <w:tc>
          <w:tcPr>
            <w:tcW w:w="6422" w:type="dxa"/>
            <w:tcBorders/>
          </w:tcPr>
          <w:p>
            <w:pPr>
              <w:pStyle w:val="style179"/>
              <w:numPr>
                <w:ilvl w:val="0"/>
                <w:numId w:val="7"/>
              </w:numPr>
              <w:ind w:left="502"/>
              <w:rPr>
                <w:rFonts w:cs="Calibri"/>
                <w:b/>
                <w:sz w:val="24"/>
                <w:szCs w:val="24"/>
              </w:rPr>
            </w:pPr>
            <w:r>
              <w:rPr>
                <w:rFonts w:cs="Calibri"/>
                <w:b/>
                <w:sz w:val="24"/>
                <w:szCs w:val="24"/>
              </w:rPr>
              <w:t>Formation sur les premiers secours par la protection civile</w:t>
            </w:r>
          </w:p>
          <w:p>
            <w:pPr>
              <w:pStyle w:val="style0"/>
              <w:rPr>
                <w:rFonts w:cs="Calibri"/>
                <w:sz w:val="28"/>
                <w:szCs w:val="28"/>
              </w:rPr>
            </w:pPr>
          </w:p>
        </w:tc>
      </w:tr>
      <w:tr>
        <w:tblPrEx/>
        <w:trPr>
          <w:trHeight w:val="351" w:hRule="atLeast"/>
        </w:trPr>
        <w:tc>
          <w:tcPr>
            <w:tcW w:w="2351" w:type="dxa"/>
            <w:tcBorders/>
          </w:tcPr>
          <w:p>
            <w:pPr>
              <w:pStyle w:val="style0"/>
              <w:rPr>
                <w:rFonts w:cs="Calibri"/>
                <w:sz w:val="28"/>
                <w:szCs w:val="28"/>
              </w:rPr>
            </w:pPr>
            <w:r>
              <w:rPr>
                <w:rFonts w:cs="Calibri"/>
                <w:b/>
                <w:sz w:val="24"/>
                <w:szCs w:val="24"/>
              </w:rPr>
              <w:t>Organisation Internationale pour les Migrations Tombouctou</w:t>
            </w:r>
          </w:p>
        </w:tc>
        <w:tc>
          <w:tcPr>
            <w:tcW w:w="1554" w:type="dxa"/>
            <w:tcBorders/>
          </w:tcPr>
          <w:p>
            <w:pPr>
              <w:pStyle w:val="style0"/>
              <w:rPr>
                <w:rFonts w:cs="Calibri"/>
                <w:sz w:val="28"/>
                <w:szCs w:val="28"/>
              </w:rPr>
            </w:pPr>
            <w:r>
              <w:rPr>
                <w:rFonts w:cs="Calibri"/>
                <w:b/>
                <w:sz w:val="24"/>
                <w:szCs w:val="24"/>
              </w:rPr>
              <w:t>Du 7 au 8 Février</w:t>
            </w:r>
            <w:r>
              <w:rPr>
                <w:rFonts w:cs="Calibri"/>
                <w:b/>
                <w:sz w:val="24"/>
                <w:szCs w:val="24"/>
              </w:rPr>
              <w:t xml:space="preserve"> 2018</w:t>
            </w:r>
          </w:p>
        </w:tc>
        <w:tc>
          <w:tcPr>
            <w:tcW w:w="6422" w:type="dxa"/>
            <w:tcBorders/>
          </w:tcPr>
          <w:p>
            <w:pPr>
              <w:pStyle w:val="style179"/>
              <w:numPr>
                <w:ilvl w:val="0"/>
                <w:numId w:val="7"/>
              </w:numPr>
              <w:ind w:left="502"/>
              <w:rPr>
                <w:rFonts w:cs="Calibri"/>
                <w:sz w:val="24"/>
                <w:szCs w:val="24"/>
              </w:rPr>
            </w:pPr>
            <w:r>
              <w:rPr>
                <w:rFonts w:cs="Calibri"/>
                <w:b/>
                <w:sz w:val="24"/>
                <w:szCs w:val="24"/>
              </w:rPr>
              <w:t>Formation sur la traite des personnes et abus sexuel</w:t>
            </w:r>
            <w:r>
              <w:rPr>
                <w:rFonts w:cs="Calibri"/>
                <w:sz w:val="24"/>
                <w:szCs w:val="24"/>
              </w:rPr>
              <w:t> :</w:t>
            </w:r>
          </w:p>
          <w:p>
            <w:pPr>
              <w:pStyle w:val="style179"/>
              <w:numPr>
                <w:ilvl w:val="0"/>
                <w:numId w:val="27"/>
              </w:numPr>
              <w:rPr>
                <w:rFonts w:cs="Calibri"/>
                <w:sz w:val="24"/>
                <w:szCs w:val="24"/>
              </w:rPr>
            </w:pPr>
            <w:r>
              <w:rPr>
                <w:rFonts w:cs="Calibri"/>
                <w:sz w:val="24"/>
                <w:szCs w:val="24"/>
              </w:rPr>
              <w:t>Le respect des droits de l’homme</w:t>
            </w:r>
          </w:p>
          <w:p>
            <w:pPr>
              <w:pStyle w:val="style179"/>
              <w:numPr>
                <w:ilvl w:val="0"/>
                <w:numId w:val="27"/>
              </w:numPr>
              <w:rPr>
                <w:rFonts w:cs="Calibri"/>
                <w:sz w:val="24"/>
                <w:szCs w:val="24"/>
              </w:rPr>
            </w:pPr>
            <w:r>
              <w:rPr>
                <w:rFonts w:cs="Calibri"/>
                <w:sz w:val="24"/>
                <w:szCs w:val="24"/>
              </w:rPr>
              <w:t>Le bien-être physique, mental et social de l’individu et de sa communauté</w:t>
            </w:r>
          </w:p>
          <w:p>
            <w:pPr>
              <w:pStyle w:val="style179"/>
              <w:numPr>
                <w:ilvl w:val="0"/>
                <w:numId w:val="27"/>
              </w:numPr>
              <w:rPr>
                <w:rFonts w:cs="Calibri"/>
                <w:sz w:val="24"/>
                <w:szCs w:val="24"/>
              </w:rPr>
            </w:pPr>
            <w:r>
              <w:rPr>
                <w:rFonts w:cs="Calibri"/>
                <w:sz w:val="24"/>
                <w:szCs w:val="24"/>
              </w:rPr>
              <w:t xml:space="preserve">La pérennité, grâce au renforcement des capacités </w:t>
            </w:r>
            <w:r>
              <w:rPr>
                <w:rFonts w:cs="Calibri"/>
                <w:sz w:val="24"/>
                <w:szCs w:val="24"/>
              </w:rPr>
              <w:t>institutionnelles des gouvernements et de la société civile</w:t>
            </w:r>
          </w:p>
          <w:p>
            <w:pPr>
              <w:pStyle w:val="style179"/>
              <w:numPr>
                <w:ilvl w:val="0"/>
                <w:numId w:val="27"/>
              </w:numPr>
              <w:rPr>
                <w:rFonts w:cs="Calibri"/>
                <w:sz w:val="24"/>
                <w:szCs w:val="24"/>
              </w:rPr>
            </w:pPr>
            <w:r>
              <w:rPr>
                <w:rFonts w:cs="Calibri"/>
                <w:sz w:val="24"/>
                <w:szCs w:val="24"/>
              </w:rPr>
              <w:t>Renforcer les cadres législatifs et politiques ;</w:t>
            </w:r>
          </w:p>
          <w:p>
            <w:pPr>
              <w:pStyle w:val="style179"/>
              <w:numPr>
                <w:ilvl w:val="0"/>
                <w:numId w:val="27"/>
              </w:numPr>
              <w:rPr>
                <w:rFonts w:cs="Calibri"/>
                <w:sz w:val="24"/>
                <w:szCs w:val="24"/>
              </w:rPr>
            </w:pPr>
            <w:r>
              <w:rPr>
                <w:rFonts w:cs="Calibri"/>
                <w:sz w:val="24"/>
                <w:szCs w:val="24"/>
              </w:rPr>
              <w:t>Consolider les capacités en matière d’identification, d'enquête et de poursuites, ainsi que la protection des victimes/migrants clandestins ;</w:t>
            </w:r>
          </w:p>
          <w:p>
            <w:pPr>
              <w:pStyle w:val="style179"/>
              <w:numPr>
                <w:ilvl w:val="0"/>
                <w:numId w:val="27"/>
              </w:numPr>
              <w:rPr>
                <w:rFonts w:cs="Calibri"/>
                <w:sz w:val="24"/>
                <w:szCs w:val="24"/>
              </w:rPr>
            </w:pPr>
            <w:r>
              <w:rPr>
                <w:rFonts w:cs="Calibri"/>
                <w:sz w:val="24"/>
                <w:szCs w:val="24"/>
              </w:rPr>
              <w:t>Augmenter les données sur la nature et l'ampleur de la traite de personnes et le trafic de migrants ;</w:t>
            </w:r>
          </w:p>
          <w:p>
            <w:pPr>
              <w:pStyle w:val="style179"/>
              <w:numPr>
                <w:ilvl w:val="0"/>
                <w:numId w:val="27"/>
              </w:numPr>
              <w:rPr>
                <w:rFonts w:cs="Calibri"/>
                <w:sz w:val="24"/>
                <w:szCs w:val="24"/>
              </w:rPr>
            </w:pPr>
            <w:r>
              <w:rPr>
                <w:rFonts w:cs="Calibri"/>
                <w:sz w:val="24"/>
                <w:szCs w:val="24"/>
              </w:rPr>
              <w:t>Accroître la sensibilisation</w:t>
            </w:r>
          </w:p>
          <w:p>
            <w:pPr>
              <w:pStyle w:val="style179"/>
              <w:numPr>
                <w:ilvl w:val="0"/>
                <w:numId w:val="27"/>
              </w:numPr>
              <w:rPr>
                <w:rFonts w:cs="Calibri"/>
                <w:sz w:val="28"/>
                <w:szCs w:val="28"/>
              </w:rPr>
            </w:pPr>
            <w:r>
              <w:rPr>
                <w:rFonts w:cs="Calibri"/>
                <w:sz w:val="24"/>
                <w:szCs w:val="24"/>
              </w:rPr>
              <w:t>Renforcer la coopération aux niveaux national, régional et international</w:t>
            </w:r>
          </w:p>
        </w:tc>
      </w:tr>
      <w:tr>
        <w:tblPrEx/>
        <w:trPr>
          <w:trHeight w:val="351" w:hRule="atLeast"/>
        </w:trPr>
        <w:tc>
          <w:tcPr>
            <w:tcW w:w="2351" w:type="dxa"/>
            <w:tcBorders/>
          </w:tcPr>
          <w:p>
            <w:pPr>
              <w:pStyle w:val="style0"/>
              <w:rPr>
                <w:rFonts w:cs="Calibri"/>
                <w:sz w:val="28"/>
                <w:szCs w:val="28"/>
              </w:rPr>
            </w:pPr>
            <w:r>
              <w:rPr>
                <w:rFonts w:cs="Calibri"/>
                <w:b/>
                <w:sz w:val="24"/>
                <w:szCs w:val="24"/>
              </w:rPr>
              <w:t>Direction Régionale Développement Social Tombouctou</w:t>
            </w:r>
          </w:p>
        </w:tc>
        <w:tc>
          <w:tcPr>
            <w:tcW w:w="1554" w:type="dxa"/>
            <w:tcBorders/>
          </w:tcPr>
          <w:p>
            <w:pPr>
              <w:pStyle w:val="style0"/>
              <w:rPr>
                <w:rFonts w:cs="Calibri"/>
                <w:sz w:val="28"/>
                <w:szCs w:val="28"/>
              </w:rPr>
            </w:pPr>
            <w:r>
              <w:rPr>
                <w:rFonts w:cs="Calibri"/>
                <w:b/>
                <w:bCs/>
                <w:sz w:val="24"/>
                <w:szCs w:val="24"/>
              </w:rPr>
              <w:t>Du 8 au 12  Décembre  2015</w:t>
            </w:r>
          </w:p>
        </w:tc>
        <w:tc>
          <w:tcPr>
            <w:tcW w:w="6422" w:type="dxa"/>
            <w:tcBorders/>
          </w:tcPr>
          <w:p>
            <w:pPr>
              <w:pStyle w:val="style179"/>
              <w:numPr>
                <w:ilvl w:val="0"/>
                <w:numId w:val="28"/>
              </w:numPr>
              <w:rPr>
                <w:rFonts w:cs="Calibri"/>
                <w:b/>
                <w:sz w:val="28"/>
                <w:szCs w:val="28"/>
              </w:rPr>
            </w:pPr>
            <w:r>
              <w:rPr>
                <w:rFonts w:cs="Calibri"/>
                <w:b/>
                <w:sz w:val="24"/>
                <w:szCs w:val="24"/>
              </w:rPr>
              <w:t>Formation sur la mise à jour des Formulaires d’enregistrement des déplacés, retournés et Rapatriés sur les smartes et les tablettes Android avec l’application ODK</w:t>
            </w:r>
          </w:p>
        </w:tc>
      </w:tr>
      <w:tr>
        <w:tblPrEx/>
        <w:trPr>
          <w:trHeight w:val="351" w:hRule="atLeast"/>
        </w:trPr>
        <w:tc>
          <w:tcPr>
            <w:tcW w:w="2351" w:type="dxa"/>
            <w:tcBorders/>
          </w:tcPr>
          <w:p>
            <w:pPr>
              <w:pStyle w:val="style0"/>
              <w:rPr>
                <w:rFonts w:cs="Calibri"/>
                <w:sz w:val="28"/>
                <w:szCs w:val="28"/>
              </w:rPr>
            </w:pPr>
            <w:r>
              <w:rPr>
                <w:rFonts w:cs="Calibri"/>
                <w:b/>
                <w:sz w:val="24"/>
                <w:szCs w:val="24"/>
              </w:rPr>
              <w:t>Mission culturelle UNESCO       Tombouctou</w:t>
            </w:r>
          </w:p>
        </w:tc>
        <w:tc>
          <w:tcPr>
            <w:tcW w:w="1554" w:type="dxa"/>
            <w:tcBorders/>
          </w:tcPr>
          <w:p>
            <w:pPr>
              <w:pStyle w:val="style0"/>
              <w:rPr>
                <w:rFonts w:cs="Calibri"/>
                <w:sz w:val="28"/>
                <w:szCs w:val="28"/>
              </w:rPr>
            </w:pPr>
            <w:r>
              <w:rPr>
                <w:rFonts w:cs="Calibri" w:eastAsia="Calibri"/>
                <w:b/>
                <w:sz w:val="24"/>
                <w:szCs w:val="24"/>
              </w:rPr>
              <w:t>DU 18 au 25 Avril</w:t>
            </w:r>
            <w:r>
              <w:rPr>
                <w:rFonts w:cs="Calibri" w:eastAsia="Calibri"/>
                <w:b/>
                <w:sz w:val="24"/>
                <w:szCs w:val="24"/>
              </w:rPr>
              <w:t xml:space="preserve"> 2013</w:t>
            </w:r>
          </w:p>
        </w:tc>
        <w:tc>
          <w:tcPr>
            <w:tcW w:w="6422" w:type="dxa"/>
            <w:tcBorders/>
          </w:tcPr>
          <w:p>
            <w:pPr>
              <w:pStyle w:val="style179"/>
              <w:numPr>
                <w:ilvl w:val="0"/>
                <w:numId w:val="29"/>
              </w:numPr>
              <w:rPr>
                <w:rFonts w:cs="Calibri"/>
                <w:b/>
                <w:sz w:val="28"/>
                <w:szCs w:val="28"/>
              </w:rPr>
            </w:pPr>
            <w:r>
              <w:rPr>
                <w:rFonts w:cs="Calibri" w:eastAsia="Calibri"/>
                <w:b/>
                <w:sz w:val="24"/>
                <w:szCs w:val="24"/>
              </w:rPr>
              <w:t>Formation des Enquêteurs sur l’inventaire du Patrimoine culturelle Immatériel</w:t>
            </w:r>
          </w:p>
        </w:tc>
      </w:tr>
      <w:tr>
        <w:tblPrEx/>
        <w:trPr>
          <w:trHeight w:val="351" w:hRule="atLeast"/>
        </w:trPr>
        <w:tc>
          <w:tcPr>
            <w:tcW w:w="2351" w:type="dxa"/>
            <w:tcBorders/>
          </w:tcPr>
          <w:p>
            <w:pPr>
              <w:pStyle w:val="style0"/>
              <w:jc w:val="center"/>
              <w:rPr>
                <w:rFonts w:cs="Calibri"/>
                <w:b/>
                <w:sz w:val="24"/>
                <w:szCs w:val="24"/>
              </w:rPr>
            </w:pPr>
            <w:r>
              <w:rPr>
                <w:rFonts w:cs="Calibri"/>
                <w:b/>
                <w:sz w:val="24"/>
                <w:szCs w:val="24"/>
              </w:rPr>
              <w:t>Union Pour un Avenir Ecologique et Solidaire</w:t>
            </w:r>
          </w:p>
          <w:p>
            <w:pPr>
              <w:pStyle w:val="style0"/>
              <w:rPr>
                <w:rFonts w:cs="Calibri"/>
                <w:sz w:val="28"/>
                <w:szCs w:val="28"/>
              </w:rPr>
            </w:pPr>
            <w:r>
              <w:rPr>
                <w:rFonts w:cs="Calibri"/>
                <w:b/>
                <w:sz w:val="24"/>
                <w:szCs w:val="24"/>
              </w:rPr>
              <w:t>Bamako</w:t>
            </w:r>
          </w:p>
        </w:tc>
        <w:tc>
          <w:tcPr>
            <w:tcW w:w="1554" w:type="dxa"/>
            <w:tcBorders/>
          </w:tcPr>
          <w:p>
            <w:pPr>
              <w:pStyle w:val="style0"/>
              <w:jc w:val="center"/>
              <w:rPr>
                <w:rFonts w:cs="Calibri"/>
                <w:sz w:val="28"/>
                <w:szCs w:val="28"/>
              </w:rPr>
            </w:pPr>
            <w:r>
              <w:rPr>
                <w:rFonts w:cs="Calibri" w:eastAsia="Calibri"/>
                <w:b/>
                <w:sz w:val="24"/>
                <w:szCs w:val="24"/>
              </w:rPr>
              <w:t>Du 2 Septembre au 2 Novembre 2012</w:t>
            </w:r>
          </w:p>
        </w:tc>
        <w:tc>
          <w:tcPr>
            <w:tcW w:w="6422" w:type="dxa"/>
            <w:tcBorders/>
          </w:tcPr>
          <w:p>
            <w:pPr>
              <w:pStyle w:val="style179"/>
              <w:numPr>
                <w:ilvl w:val="0"/>
                <w:numId w:val="29"/>
              </w:numPr>
              <w:rPr>
                <w:rFonts w:cs="Calibri"/>
                <w:b/>
                <w:sz w:val="28"/>
                <w:szCs w:val="28"/>
              </w:rPr>
            </w:pPr>
            <w:r>
              <w:rPr>
                <w:rFonts w:cs="Calibri"/>
                <w:b/>
                <w:sz w:val="24"/>
                <w:szCs w:val="24"/>
              </w:rPr>
              <w:t>Formation en agro écologie   les directeurs des études des écoles agropastorales</w:t>
            </w:r>
          </w:p>
        </w:tc>
      </w:tr>
    </w:tbl>
    <w:p>
      <w:pPr>
        <w:pStyle w:val="style0"/>
        <w:jc w:val="center"/>
        <w:rPr>
          <w:rFonts w:cs="Calibri"/>
        </w:rPr>
      </w:pPr>
      <w:r>
        <w:rPr>
          <w:rFonts w:cs="Calibri"/>
          <w:b/>
          <w:sz w:val="28"/>
          <w:szCs w:val="28"/>
          <w:u w:val="single"/>
        </w:rPr>
        <w:t>D-BENEVOLAT</w:t>
      </w:r>
      <w:r>
        <w:rPr>
          <w:rFonts w:cs="Calibri"/>
        </w:rPr>
        <w:t> :</w:t>
      </w:r>
    </w:p>
    <w:tbl>
      <w:tblPr>
        <w:tblStyle w:val="style154"/>
        <w:tblW w:w="10312" w:type="dxa"/>
        <w:tblInd w:w="-318" w:type="dxa"/>
        <w:tblLook w:val="04A0" w:firstRow="1" w:lastRow="0" w:firstColumn="1" w:lastColumn="0" w:noHBand="0" w:noVBand="1"/>
      </w:tblPr>
      <w:tblGrid>
        <w:gridCol w:w="2911"/>
        <w:gridCol w:w="1539"/>
        <w:gridCol w:w="5863"/>
      </w:tblGrid>
      <w:tr>
        <w:trPr>
          <w:trHeight w:val="699" w:hRule="atLeast"/>
        </w:trPr>
        <w:tc>
          <w:tcPr>
            <w:tcW w:w="2661" w:type="dxa"/>
            <w:tcBorders/>
          </w:tcPr>
          <w:p>
            <w:pPr>
              <w:pStyle w:val="style0"/>
              <w:jc w:val="both"/>
              <w:rPr>
                <w:b/>
                <w:color w:val="ff0000"/>
                <w:sz w:val="56"/>
                <w:szCs w:val="56"/>
              </w:rPr>
            </w:pPr>
            <w:r>
              <w:rPr>
                <w:rFonts w:cs="Calibri"/>
                <w:b/>
              </w:rPr>
              <w:t>OCHA/TOMBOUCTOU</w:t>
            </w:r>
          </w:p>
        </w:tc>
        <w:tc>
          <w:tcPr>
            <w:tcW w:w="1547" w:type="dxa"/>
            <w:tcBorders/>
          </w:tcPr>
          <w:p>
            <w:pPr>
              <w:pStyle w:val="style0"/>
              <w:jc w:val="both"/>
              <w:rPr>
                <w:b/>
                <w:color w:val="ff0000"/>
                <w:sz w:val="56"/>
                <w:szCs w:val="56"/>
              </w:rPr>
            </w:pPr>
            <w:r>
              <w:rPr>
                <w:rFonts w:ascii="Calibri" w:cs="Calibri" w:eastAsia="Calibri" w:hAnsi="Calibri"/>
                <w:b/>
                <w:sz w:val="24"/>
                <w:szCs w:val="24"/>
              </w:rPr>
              <w:t>Du  1</w:t>
            </w:r>
            <w:r>
              <w:rPr>
                <w:rFonts w:ascii="Calibri" w:cs="Calibri" w:eastAsia="Calibri" w:hAnsi="Calibri"/>
                <w:b/>
                <w:sz w:val="24"/>
                <w:szCs w:val="24"/>
                <w:vertAlign w:val="superscript"/>
              </w:rPr>
              <w:t>er</w:t>
            </w:r>
            <w:r>
              <w:rPr>
                <w:rFonts w:ascii="Calibri" w:cs="Calibri" w:eastAsia="Calibri" w:hAnsi="Calibri"/>
                <w:b/>
                <w:sz w:val="24"/>
                <w:szCs w:val="24"/>
              </w:rPr>
              <w:t xml:space="preserve">  Aout  2015  au 1</w:t>
            </w:r>
            <w:r>
              <w:rPr>
                <w:rFonts w:ascii="Calibri" w:cs="Calibri" w:eastAsia="Calibri" w:hAnsi="Calibri"/>
                <w:b/>
                <w:sz w:val="24"/>
                <w:szCs w:val="24"/>
                <w:vertAlign w:val="superscript"/>
              </w:rPr>
              <w:t>er</w:t>
            </w:r>
            <w:r>
              <w:rPr>
                <w:rFonts w:ascii="Calibri" w:cs="Calibri" w:eastAsia="Calibri" w:hAnsi="Calibri"/>
                <w:b/>
                <w:sz w:val="24"/>
                <w:szCs w:val="24"/>
              </w:rPr>
              <w:t xml:space="preserve"> juin 2016</w:t>
            </w:r>
          </w:p>
        </w:tc>
        <w:tc>
          <w:tcPr>
            <w:tcW w:w="6104" w:type="dxa"/>
            <w:tcBorders/>
          </w:tcPr>
          <w:p>
            <w:pPr>
              <w:pStyle w:val="style0"/>
              <w:rPr>
                <w:b/>
                <w:color w:val="ff0000"/>
                <w:sz w:val="56"/>
                <w:szCs w:val="56"/>
              </w:rPr>
            </w:pPr>
            <w:r>
              <w:rPr>
                <w:b/>
              </w:rPr>
              <w:t xml:space="preserve">Assistant Administratif du chargé des affaires humanitaire ou Officier chargé de la coordination </w:t>
            </w:r>
            <w:r>
              <w:rPr>
                <w:b/>
              </w:rPr>
              <w:t>civo</w:t>
            </w:r>
            <w:r>
              <w:rPr>
                <w:b/>
              </w:rPr>
              <w:t>-militaire au Bureau commun des nations unies</w:t>
            </w:r>
          </w:p>
        </w:tc>
      </w:tr>
      <w:tr>
        <w:tblPrEx/>
        <w:trPr>
          <w:trHeight w:val="715" w:hRule="atLeast"/>
        </w:trPr>
        <w:tc>
          <w:tcPr>
            <w:tcW w:w="2661" w:type="dxa"/>
            <w:tcBorders/>
          </w:tcPr>
          <w:p>
            <w:pPr>
              <w:pStyle w:val="style0"/>
              <w:jc w:val="both"/>
              <w:rPr>
                <w:b/>
                <w:color w:val="ff0000"/>
                <w:sz w:val="56"/>
                <w:szCs w:val="56"/>
              </w:rPr>
            </w:pPr>
            <w:r>
              <w:rPr>
                <w:rFonts w:cs="Calibri"/>
                <w:b/>
              </w:rPr>
              <w:t>PNUD/TOMBOUCTOU</w:t>
            </w:r>
          </w:p>
        </w:tc>
        <w:tc>
          <w:tcPr>
            <w:tcW w:w="1547" w:type="dxa"/>
            <w:tcBorders/>
          </w:tcPr>
          <w:p>
            <w:pPr>
              <w:pStyle w:val="style0"/>
              <w:jc w:val="both"/>
              <w:rPr>
                <w:b/>
                <w:color w:val="ff0000"/>
                <w:sz w:val="56"/>
                <w:szCs w:val="56"/>
              </w:rPr>
            </w:pPr>
            <w:r>
              <w:rPr>
                <w:rFonts w:ascii="Calibri" w:cs="Calibri" w:eastAsia="Calibri" w:hAnsi="Calibri"/>
                <w:b/>
                <w:sz w:val="24"/>
                <w:szCs w:val="24"/>
              </w:rPr>
              <w:t>Du 25 au 27  Novembre 2015</w:t>
            </w:r>
          </w:p>
        </w:tc>
        <w:tc>
          <w:tcPr>
            <w:tcW w:w="6104" w:type="dxa"/>
            <w:tcBorders/>
          </w:tcPr>
          <w:p>
            <w:pPr>
              <w:pStyle w:val="style0"/>
              <w:jc w:val="both"/>
              <w:rPr>
                <w:b/>
                <w:color w:val="ff0000"/>
                <w:sz w:val="56"/>
                <w:szCs w:val="56"/>
              </w:rPr>
            </w:pPr>
            <w:r>
              <w:rPr>
                <w:rFonts w:ascii="Calibri" w:cs="Calibri" w:eastAsia="Calibri" w:hAnsi="Calibri"/>
                <w:b/>
                <w:sz w:val="24"/>
                <w:szCs w:val="24"/>
              </w:rPr>
              <w:t xml:space="preserve">Activité de Sensibilisation de plus de 432 élèves de terminale du Lycée Mahamane Alassane de Tombouctou avec la Responsable du PAPEM au PNUD.                                                                           (Deborah </w:t>
            </w:r>
            <w:r>
              <w:rPr>
                <w:rFonts w:ascii="Calibri" w:cs="Calibri" w:eastAsia="Calibri" w:hAnsi="Calibri"/>
                <w:b/>
                <w:sz w:val="24"/>
                <w:szCs w:val="24"/>
              </w:rPr>
              <w:t>HanyéSanou</w:t>
            </w:r>
            <w:r>
              <w:rPr>
                <w:rFonts w:ascii="Calibri" w:cs="Calibri" w:eastAsia="Calibri" w:hAnsi="Calibri"/>
                <w:b/>
                <w:sz w:val="24"/>
                <w:szCs w:val="24"/>
              </w:rPr>
              <w:t xml:space="preserve"> Tel : 73 38 22 59).                                                                                                                           </w:t>
            </w:r>
            <w:r>
              <w:rPr>
                <w:rFonts w:ascii="Calibri" w:cs="Calibri" w:eastAsia="Calibri" w:hAnsi="Calibri"/>
                <w:b/>
                <w:sz w:val="24"/>
                <w:szCs w:val="24"/>
                <w:u w:val="single"/>
              </w:rPr>
              <w:t>Thème</w:t>
            </w:r>
            <w:r>
              <w:rPr>
                <w:rFonts w:ascii="Calibri" w:cs="Calibri" w:eastAsia="Calibri" w:hAnsi="Calibri"/>
                <w:b/>
                <w:sz w:val="24"/>
                <w:szCs w:val="24"/>
              </w:rPr>
              <w:t xml:space="preserve"> : Comment devenir  volontaire aux  Nations Unies  et accédez  </w:t>
            </w:r>
          </w:p>
        </w:tc>
      </w:tr>
      <w:tr>
        <w:tblPrEx/>
        <w:trPr>
          <w:trHeight w:val="715" w:hRule="atLeast"/>
        </w:trPr>
        <w:tc>
          <w:tcPr>
            <w:tcW w:w="2661" w:type="dxa"/>
            <w:tcBorders/>
          </w:tcPr>
          <w:p>
            <w:pPr>
              <w:pStyle w:val="style0"/>
              <w:rPr>
                <w:b/>
                <w:color w:val="ff0000"/>
                <w:sz w:val="56"/>
                <w:szCs w:val="56"/>
              </w:rPr>
            </w:pPr>
            <w:r>
              <w:rPr>
                <w:rFonts w:cs="Calibri"/>
                <w:b/>
                <w:sz w:val="24"/>
                <w:szCs w:val="24"/>
              </w:rPr>
              <w:t>HUMANTES&amp;</w:t>
            </w:r>
            <w:r>
              <w:rPr>
                <w:rFonts w:cs="Calibri"/>
                <w:b/>
                <w:sz w:val="24"/>
                <w:szCs w:val="24"/>
              </w:rPr>
              <w:t>INCLUSION TOMBOUCTOU</w:t>
            </w:r>
          </w:p>
        </w:tc>
        <w:tc>
          <w:tcPr>
            <w:tcW w:w="1547" w:type="dxa"/>
            <w:tcBorders/>
          </w:tcPr>
          <w:p>
            <w:pPr>
              <w:pStyle w:val="style0"/>
              <w:jc w:val="both"/>
              <w:rPr>
                <w:b/>
                <w:color w:val="ff0000"/>
                <w:sz w:val="56"/>
                <w:szCs w:val="56"/>
              </w:rPr>
            </w:pPr>
            <w:r>
              <w:rPr>
                <w:rFonts w:ascii="Calibri" w:cs="Calibri" w:eastAsia="Calibri" w:hAnsi="Calibri"/>
                <w:b/>
                <w:sz w:val="24"/>
                <w:szCs w:val="24"/>
              </w:rPr>
              <w:t>De Juin à Septembre 2012 </w:t>
            </w:r>
          </w:p>
        </w:tc>
        <w:tc>
          <w:tcPr>
            <w:tcW w:w="6104" w:type="dxa"/>
            <w:tcBorders/>
          </w:tcPr>
          <w:p>
            <w:pPr>
              <w:pStyle w:val="style0"/>
              <w:jc w:val="both"/>
              <w:rPr>
                <w:b/>
                <w:color w:val="ff0000"/>
                <w:sz w:val="56"/>
                <w:szCs w:val="56"/>
              </w:rPr>
            </w:pPr>
            <w:r>
              <w:rPr>
                <w:rFonts w:cs="Calibri"/>
                <w:b/>
                <w:sz w:val="24"/>
                <w:szCs w:val="24"/>
              </w:rPr>
              <w:t xml:space="preserve">Appui logistique et Assistant aux opérations de distribution des vivres de Handicap International dans les communes de Rharous, Séréré, Banikane, Hamzakoma, Tombouctou, Lafia et </w:t>
            </w:r>
            <w:r>
              <w:rPr>
                <w:rFonts w:cs="Calibri"/>
                <w:b/>
                <w:sz w:val="24"/>
                <w:szCs w:val="24"/>
              </w:rPr>
              <w:t>BouremInaly</w:t>
            </w:r>
            <w:r>
              <w:rPr>
                <w:rFonts w:cs="Calibri"/>
                <w:sz w:val="24"/>
                <w:szCs w:val="24"/>
              </w:rPr>
              <w:t xml:space="preserve"> .</w:t>
            </w:r>
          </w:p>
        </w:tc>
      </w:tr>
    </w:tbl>
    <w:p>
      <w:pPr>
        <w:pStyle w:val="style0"/>
        <w:jc w:val="center"/>
        <w:rPr>
          <w:rFonts w:cs="Calibri"/>
          <w:b/>
          <w:sz w:val="28"/>
          <w:szCs w:val="28"/>
          <w:u w:val="single"/>
        </w:rPr>
      </w:pPr>
      <w:r>
        <w:rPr>
          <w:rFonts w:cs="Calibri"/>
          <w:b/>
          <w:sz w:val="28"/>
          <w:szCs w:val="28"/>
          <w:u w:val="single"/>
        </w:rPr>
        <w:t>E-STAGES DE QUALIFICATION :</w:t>
      </w:r>
    </w:p>
    <w:tbl>
      <w:tblPr>
        <w:tblStyle w:val="style154"/>
        <w:tblW w:w="10280" w:type="dxa"/>
        <w:tblInd w:w="-318" w:type="dxa"/>
        <w:tblLook w:val="04A0" w:firstRow="1" w:lastRow="0" w:firstColumn="1" w:lastColumn="0" w:noHBand="0" w:noVBand="1"/>
      </w:tblPr>
      <w:tblGrid>
        <w:gridCol w:w="2694"/>
        <w:gridCol w:w="1560"/>
        <w:gridCol w:w="6026"/>
      </w:tblGrid>
      <w:tr>
        <w:trPr>
          <w:trHeight w:val="425" w:hRule="atLeast"/>
        </w:trPr>
        <w:tc>
          <w:tcPr>
            <w:tcW w:w="2694" w:type="dxa"/>
            <w:tcBorders/>
          </w:tcPr>
          <w:p>
            <w:pPr>
              <w:pStyle w:val="style0"/>
              <w:jc w:val="center"/>
              <w:rPr>
                <w:rFonts w:ascii="Calibri" w:cs="Calibri" w:eastAsia="Calibri" w:hAnsi="Calibri"/>
                <w:b/>
                <w:sz w:val="24"/>
                <w:szCs w:val="24"/>
              </w:rPr>
            </w:pPr>
            <w:r>
              <w:rPr>
                <w:rFonts w:ascii="Calibri" w:cs="Calibri" w:eastAsia="Calibri" w:hAnsi="Calibri"/>
                <w:b/>
                <w:sz w:val="24"/>
                <w:szCs w:val="24"/>
              </w:rPr>
              <w:t>Direction des Finances et du Matériel du Département de l’Enseignement Supérieure et de la Recherche Scientifique </w:t>
            </w:r>
          </w:p>
          <w:p>
            <w:pPr>
              <w:pStyle w:val="style0"/>
              <w:jc w:val="both"/>
              <w:rPr>
                <w:b/>
                <w:color w:val="ff0000"/>
                <w:sz w:val="56"/>
                <w:szCs w:val="56"/>
              </w:rPr>
            </w:pPr>
            <w:r>
              <w:rPr>
                <w:rFonts w:ascii="Calibri" w:cs="Calibri" w:eastAsia="Calibri" w:hAnsi="Calibri"/>
                <w:b/>
                <w:sz w:val="24"/>
                <w:szCs w:val="24"/>
              </w:rPr>
              <w:t>Bamako</w:t>
            </w:r>
          </w:p>
        </w:tc>
        <w:tc>
          <w:tcPr>
            <w:tcW w:w="1560" w:type="dxa"/>
            <w:tcBorders/>
          </w:tcPr>
          <w:p>
            <w:pPr>
              <w:pStyle w:val="style0"/>
              <w:jc w:val="both"/>
              <w:rPr>
                <w:b/>
                <w:color w:val="ff0000"/>
                <w:sz w:val="56"/>
                <w:szCs w:val="56"/>
              </w:rPr>
            </w:pPr>
            <w:r>
              <w:rPr>
                <w:rFonts w:ascii="Calibri" w:cs="Calibri" w:eastAsia="Calibri" w:hAnsi="Calibri"/>
                <w:b/>
                <w:sz w:val="24"/>
                <w:szCs w:val="24"/>
              </w:rPr>
              <w:t>De Juin 2011 en Octobre 2011</w:t>
            </w:r>
          </w:p>
        </w:tc>
        <w:tc>
          <w:tcPr>
            <w:tcW w:w="6026" w:type="dxa"/>
            <w:tcBorders/>
          </w:tcPr>
          <w:p>
            <w:pPr>
              <w:pStyle w:val="style179"/>
              <w:numPr>
                <w:ilvl w:val="0"/>
                <w:numId w:val="7"/>
              </w:numPr>
              <w:tabs>
                <w:tab w:val="left" w:leader="none" w:pos="426"/>
              </w:tabs>
              <w:ind w:left="502"/>
              <w:rPr>
                <w:rFonts w:ascii="Calibri" w:cs="Calibri" w:eastAsia="Calibri" w:hAnsi="Calibri"/>
                <w:b/>
                <w:sz w:val="24"/>
                <w:szCs w:val="24"/>
              </w:rPr>
            </w:pPr>
            <w:r>
              <w:rPr>
                <w:rFonts w:ascii="Calibri" w:cs="Calibri" w:eastAsia="Calibri" w:hAnsi="Calibri"/>
                <w:sz w:val="24"/>
                <w:szCs w:val="24"/>
              </w:rPr>
              <w:t>Stage de qualification à la Direction des Finances et du Matériel du Département de l’Enseignement Supérieure et de la Recherche Scientifique :</w:t>
            </w:r>
          </w:p>
          <w:p>
            <w:pPr>
              <w:pStyle w:val="style179"/>
              <w:numPr>
                <w:ilvl w:val="0"/>
                <w:numId w:val="30"/>
              </w:numPr>
              <w:tabs>
                <w:tab w:val="left" w:leader="none" w:pos="426"/>
              </w:tabs>
              <w:rPr>
                <w:rFonts w:ascii="Calibri" w:cs="Calibri" w:eastAsia="Calibri" w:hAnsi="Calibri"/>
                <w:b/>
                <w:sz w:val="24"/>
                <w:szCs w:val="24"/>
              </w:rPr>
            </w:pPr>
            <w:r>
              <w:rPr>
                <w:rFonts w:ascii="Calibri" w:cs="Calibri" w:eastAsia="Calibri" w:hAnsi="Calibri"/>
                <w:sz w:val="24"/>
                <w:szCs w:val="24"/>
              </w:rPr>
              <w:t>Gérer les flux de matières en mettant à la disposition et en gérant</w:t>
            </w:r>
            <w:r>
              <w:rPr>
                <w:rFonts w:ascii="Calibri" w:cs="Calibri" w:eastAsia="Calibri" w:hAnsi="Calibri"/>
                <w:b/>
                <w:sz w:val="24"/>
                <w:szCs w:val="24"/>
              </w:rPr>
              <w:t xml:space="preserve"> des ressources </w:t>
            </w:r>
            <w:r>
              <w:rPr>
                <w:rFonts w:ascii="Calibri" w:cs="Calibri" w:eastAsia="Calibri" w:hAnsi="Calibri"/>
                <w:sz w:val="24"/>
                <w:szCs w:val="24"/>
              </w:rPr>
              <w:t xml:space="preserve">correspondants aux besoins, aux conditions économiques et pour une qualité de </w:t>
            </w:r>
            <w:r>
              <w:rPr>
                <w:rFonts w:ascii="Calibri" w:cs="Calibri" w:eastAsia="Calibri" w:hAnsi="Calibri"/>
                <w:sz w:val="24"/>
                <w:szCs w:val="24"/>
              </w:rPr>
              <w:t>servicedéterminé</w:t>
            </w:r>
            <w:r>
              <w:rPr>
                <w:rFonts w:ascii="Calibri" w:cs="Calibri" w:eastAsia="Calibri" w:hAnsi="Calibri"/>
                <w:sz w:val="24"/>
                <w:szCs w:val="24"/>
              </w:rPr>
              <w:t>.</w:t>
            </w:r>
          </w:p>
          <w:p>
            <w:pPr>
              <w:pStyle w:val="style179"/>
              <w:numPr>
                <w:ilvl w:val="0"/>
                <w:numId w:val="30"/>
              </w:numPr>
              <w:tabs>
                <w:tab w:val="left" w:leader="none" w:pos="426"/>
              </w:tabs>
              <w:rPr>
                <w:rFonts w:ascii="Calibri" w:cs="Calibri" w:eastAsia="Calibri" w:hAnsi="Calibri"/>
                <w:b/>
                <w:sz w:val="24"/>
                <w:szCs w:val="24"/>
              </w:rPr>
            </w:pPr>
            <w:r>
              <w:rPr>
                <w:rFonts w:ascii="Calibri" w:cs="Calibri" w:eastAsia="Calibri" w:hAnsi="Calibri"/>
                <w:sz w:val="24"/>
                <w:szCs w:val="24"/>
              </w:rPr>
              <w:t xml:space="preserve">satisfaire des demandes ou des </w:t>
            </w:r>
            <w:r>
              <w:rPr>
                <w:rFonts w:ascii="Calibri" w:cs="Calibri" w:eastAsia="Calibri" w:hAnsi="Calibri"/>
                <w:sz w:val="24"/>
                <w:szCs w:val="24"/>
              </w:rPr>
              <w:t>commandesquiportent</w:t>
            </w:r>
            <w:r>
              <w:rPr>
                <w:rFonts w:ascii="Calibri" w:cs="Calibri" w:eastAsia="Calibri" w:hAnsi="Calibri"/>
                <w:sz w:val="24"/>
                <w:szCs w:val="24"/>
              </w:rPr>
              <w:t xml:space="preserve"> </w:t>
            </w:r>
            <w:r>
              <w:rPr>
                <w:rFonts w:ascii="Calibri" w:cs="Calibri" w:eastAsia="Calibri" w:hAnsi="Calibri"/>
                <w:sz w:val="24"/>
                <w:szCs w:val="24"/>
              </w:rPr>
              <w:t>sur</w:t>
            </w:r>
            <w:r>
              <w:rPr>
                <w:rFonts w:ascii="Calibri" w:cs="Calibri" w:eastAsia="Calibri" w:hAnsi="Calibri"/>
                <w:b/>
                <w:sz w:val="24"/>
                <w:szCs w:val="24"/>
              </w:rPr>
              <w:t xml:space="preserve"> la gestion de matières (Transport, emballage, stockage…).</w:t>
            </w:r>
          </w:p>
          <w:p>
            <w:pPr>
              <w:pStyle w:val="style179"/>
              <w:numPr>
                <w:ilvl w:val="0"/>
                <w:numId w:val="30"/>
              </w:numPr>
              <w:tabs>
                <w:tab w:val="left" w:leader="none" w:pos="426"/>
              </w:tabs>
              <w:rPr>
                <w:rFonts w:ascii="Calibri" w:cs="Calibri" w:eastAsia="Calibri" w:hAnsi="Calibri"/>
                <w:b/>
                <w:sz w:val="24"/>
                <w:szCs w:val="24"/>
              </w:rPr>
            </w:pPr>
            <w:r>
              <w:rPr>
                <w:rFonts w:ascii="Calibri" w:cs="Calibri" w:eastAsia="Calibri" w:hAnsi="Calibri"/>
                <w:sz w:val="24"/>
                <w:szCs w:val="24"/>
              </w:rPr>
              <w:t>Gestion des moyens qui permettent d’atteindre cet objectif</w:t>
            </w:r>
            <w:r>
              <w:rPr>
                <w:rFonts w:ascii="Calibri" w:cs="Calibri" w:eastAsia="Calibri" w:hAnsi="Calibri"/>
                <w:b/>
                <w:sz w:val="24"/>
                <w:szCs w:val="24"/>
              </w:rPr>
              <w:t xml:space="preserve"> (matériels, machines…) </w:t>
            </w:r>
            <w:r>
              <w:rPr>
                <w:rFonts w:ascii="Calibri" w:cs="Calibri" w:eastAsia="Calibri" w:hAnsi="Calibri"/>
                <w:sz w:val="24"/>
                <w:szCs w:val="24"/>
              </w:rPr>
              <w:t>etmobilise</w:t>
            </w:r>
            <w:r>
              <w:rPr>
                <w:rFonts w:ascii="Calibri" w:cs="Calibri" w:eastAsia="Calibri" w:hAnsi="Calibri"/>
                <w:b/>
                <w:sz w:val="24"/>
                <w:szCs w:val="24"/>
              </w:rPr>
              <w:t xml:space="preserve"> des ressources </w:t>
            </w:r>
            <w:r>
              <w:rPr>
                <w:rFonts w:ascii="Calibri" w:cs="Calibri" w:eastAsia="Calibri" w:hAnsi="Calibri"/>
                <w:sz w:val="24"/>
                <w:szCs w:val="24"/>
              </w:rPr>
              <w:t>pour y parvenir</w:t>
            </w:r>
            <w:r>
              <w:rPr>
                <w:rFonts w:ascii="Calibri" w:cs="Calibri" w:eastAsia="Calibri" w:hAnsi="Calibri"/>
                <w:b/>
                <w:sz w:val="24"/>
                <w:szCs w:val="24"/>
              </w:rPr>
              <w:t xml:space="preserve"> :                                                                                                                                  Approvisionnement (en matières premières, fournitures…).                                                                                        Gestion des stocks magasin                                                                                                                                     Planification du transport : expédition, réception et livraison des fournitures. </w:t>
            </w:r>
          </w:p>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u w:val="single"/>
              </w:rPr>
              <w:t>Le Thème</w:t>
            </w:r>
            <w:r>
              <w:rPr>
                <w:rFonts w:ascii="Calibri" w:cs="Calibri" w:eastAsia="Calibri" w:hAnsi="Calibri"/>
                <w:b/>
                <w:sz w:val="24"/>
                <w:szCs w:val="24"/>
              </w:rPr>
              <w:t> : L’exécution des contrats passés entre le Département et les fournisseurs.</w:t>
            </w:r>
          </w:p>
          <w:p>
            <w:pPr>
              <w:pStyle w:val="style179"/>
              <w:ind w:left="643"/>
              <w:rPr>
                <w:rFonts w:cs="Calibri"/>
                <w:sz w:val="24"/>
                <w:szCs w:val="24"/>
              </w:rPr>
            </w:pPr>
          </w:p>
          <w:p>
            <w:pPr>
              <w:pStyle w:val="style0"/>
              <w:jc w:val="both"/>
              <w:rPr>
                <w:b/>
                <w:color w:val="ff0000"/>
                <w:sz w:val="56"/>
                <w:szCs w:val="56"/>
              </w:rPr>
            </w:pPr>
          </w:p>
        </w:tc>
      </w:tr>
      <w:tr>
        <w:tblPrEx/>
        <w:trPr>
          <w:trHeight w:val="764" w:hRule="atLeast"/>
        </w:trPr>
        <w:tc>
          <w:tcPr>
            <w:tcW w:w="2694" w:type="dxa"/>
            <w:tcBorders/>
          </w:tcPr>
          <w:p>
            <w:pPr>
              <w:pStyle w:val="style0"/>
              <w:jc w:val="center"/>
              <w:rPr>
                <w:rFonts w:ascii="Calibri" w:cs="Calibri" w:eastAsia="Calibri" w:hAnsi="Calibri"/>
                <w:b/>
                <w:sz w:val="24"/>
                <w:szCs w:val="24"/>
              </w:rPr>
            </w:pPr>
            <w:r>
              <w:rPr>
                <w:rFonts w:ascii="Calibri" w:cs="Calibri" w:eastAsia="Calibri" w:hAnsi="Calibri"/>
                <w:b/>
                <w:sz w:val="24"/>
                <w:szCs w:val="24"/>
              </w:rPr>
              <w:t xml:space="preserve">Direction des Ressources Humaines du Ministère de l’éducation    </w:t>
            </w:r>
          </w:p>
          <w:p>
            <w:pPr>
              <w:pStyle w:val="style0"/>
              <w:jc w:val="both"/>
              <w:rPr>
                <w:b/>
                <w:color w:val="ff0000"/>
                <w:sz w:val="56"/>
                <w:szCs w:val="56"/>
              </w:rPr>
            </w:pPr>
            <w:r>
              <w:rPr>
                <w:rFonts w:ascii="Calibri" w:cs="Calibri" w:eastAsia="Calibri" w:hAnsi="Calibri"/>
                <w:b/>
                <w:sz w:val="24"/>
                <w:szCs w:val="24"/>
              </w:rPr>
              <w:t xml:space="preserve"> Bamako</w:t>
            </w:r>
          </w:p>
        </w:tc>
        <w:tc>
          <w:tcPr>
            <w:tcW w:w="1560" w:type="dxa"/>
            <w:tcBorders/>
          </w:tcPr>
          <w:p>
            <w:pPr>
              <w:pStyle w:val="style0"/>
              <w:jc w:val="both"/>
              <w:rPr>
                <w:b/>
                <w:color w:val="ff0000"/>
                <w:sz w:val="56"/>
                <w:szCs w:val="56"/>
              </w:rPr>
            </w:pPr>
            <w:r>
              <w:rPr>
                <w:rFonts w:ascii="Calibri" w:cs="Calibri" w:eastAsia="Calibri" w:hAnsi="Calibri"/>
                <w:b/>
                <w:sz w:val="24"/>
                <w:szCs w:val="24"/>
              </w:rPr>
              <w:t>De Septembre 2010 à Juin 2011</w:t>
            </w:r>
          </w:p>
        </w:tc>
        <w:tc>
          <w:tcPr>
            <w:tcW w:w="6026" w:type="dxa"/>
            <w:tcBorders/>
          </w:tcPr>
          <w:p>
            <w:pPr>
              <w:pStyle w:val="style179"/>
              <w:numPr>
                <w:ilvl w:val="0"/>
                <w:numId w:val="7"/>
              </w:numPr>
              <w:ind w:left="502"/>
              <w:rPr>
                <w:rFonts w:cs="Calibri"/>
                <w:sz w:val="24"/>
                <w:szCs w:val="24"/>
              </w:rPr>
            </w:pPr>
            <w:r>
              <w:rPr>
                <w:rFonts w:cs="Calibri"/>
                <w:sz w:val="24"/>
                <w:szCs w:val="24"/>
              </w:rPr>
              <w:t xml:space="preserve">Stage de qualification à la Direction des Ressources Humaines du Ministère de l’éducation (thème : La gestion des ressources  humaines)     </w:t>
            </w:r>
          </w:p>
          <w:p>
            <w:pPr>
              <w:pStyle w:val="style0"/>
              <w:jc w:val="both"/>
              <w:rPr>
                <w:b/>
                <w:color w:val="ff0000"/>
                <w:sz w:val="56"/>
                <w:szCs w:val="56"/>
              </w:rPr>
            </w:pPr>
          </w:p>
        </w:tc>
      </w:tr>
    </w:tbl>
    <w:p>
      <w:pPr>
        <w:pStyle w:val="style0"/>
        <w:tabs>
          <w:tab w:val="left" w:leader="none" w:pos="426"/>
        </w:tabs>
        <w:jc w:val="center"/>
        <w:contextualSpacing/>
        <w:rPr>
          <w:rFonts w:ascii="Calibri" w:cs="Calibri" w:eastAsia="Calibri" w:hAnsi="Calibri"/>
          <w:sz w:val="28"/>
          <w:szCs w:val="28"/>
        </w:rPr>
      </w:pPr>
      <w:r>
        <w:rPr>
          <w:rFonts w:ascii="Calibri" w:cs="Calibri" w:eastAsia="Calibri" w:hAnsi="Calibri"/>
          <w:b/>
          <w:sz w:val="28"/>
          <w:szCs w:val="28"/>
          <w:u w:val="single"/>
        </w:rPr>
        <w:t>COMPETENCES ACQUISES</w:t>
      </w:r>
      <w:r>
        <w:rPr>
          <w:rFonts w:ascii="Calibri" w:cs="Calibri" w:eastAsia="Calibri" w:hAnsi="Calibri"/>
          <w:b/>
          <w:sz w:val="28"/>
          <w:szCs w:val="28"/>
        </w:rPr>
        <w:t> :</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 xml:space="preserve">Capacité de prise de note et de rédaction  </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Maitrise des  langues locales</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 xml:space="preserve">Capacité d’adaptation </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 xml:space="preserve">Bonne capacité de communication   </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Capacité de travailler sous pression et en équipe</w:t>
      </w:r>
    </w:p>
    <w:p>
      <w:pPr>
        <w:pStyle w:val="style179"/>
        <w:numPr>
          <w:ilvl w:val="0"/>
          <w:numId w:val="7"/>
        </w:numPr>
        <w:spacing w:after="0"/>
        <w:ind w:left="502"/>
        <w:rPr>
          <w:rFonts w:ascii="Calibri" w:cs="Calibri" w:hAnsi="Calibri"/>
          <w:sz w:val="24"/>
          <w:szCs w:val="24"/>
        </w:rPr>
      </w:pPr>
      <w:r>
        <w:rPr>
          <w:rFonts w:ascii="Calibri" w:cs="Calibri" w:eastAsia="Calibri" w:hAnsi="Calibri"/>
          <w:sz w:val="24"/>
          <w:szCs w:val="24"/>
        </w:rPr>
        <w:t xml:space="preserve">Capacité à travailler avec un ordinateur en toute indépendance   </w:t>
      </w:r>
    </w:p>
    <w:p>
      <w:pPr>
        <w:pStyle w:val="style0"/>
        <w:tabs>
          <w:tab w:val="left" w:leader="none" w:pos="426"/>
        </w:tabs>
        <w:ind w:left="1440"/>
        <w:jc w:val="center"/>
        <w:contextualSpacing/>
        <w:rPr>
          <w:rFonts w:ascii="Calibri" w:cs="Calibri" w:eastAsia="Calibri" w:hAnsi="Calibri"/>
          <w:b/>
          <w:sz w:val="28"/>
          <w:szCs w:val="28"/>
          <w:u w:val="single"/>
        </w:rPr>
      </w:pPr>
      <w:r>
        <w:rPr>
          <w:rFonts w:ascii="Calibri" w:cs="Calibri" w:eastAsia="Calibri" w:hAnsi="Calibri"/>
          <w:b/>
          <w:sz w:val="28"/>
          <w:szCs w:val="28"/>
          <w:u w:val="single"/>
        </w:rPr>
        <w:t>DOMAINES DE COMPETENCES</w:t>
      </w:r>
    </w:p>
    <w:p>
      <w:pPr>
        <w:pStyle w:val="style179"/>
        <w:numPr>
          <w:ilvl w:val="0"/>
          <w:numId w:val="31"/>
        </w:numPr>
        <w:tabs>
          <w:tab w:val="left" w:leader="none" w:pos="426"/>
        </w:tabs>
        <w:rPr>
          <w:rFonts w:ascii="Calibri" w:cs="Calibri" w:eastAsia="Calibri" w:hAnsi="Calibri"/>
          <w:sz w:val="24"/>
          <w:szCs w:val="24"/>
        </w:rPr>
      </w:pPr>
      <w:r>
        <w:rPr>
          <w:rFonts w:ascii="Calibri" w:cs="Calibri" w:eastAsia="Calibri" w:hAnsi="Calibri"/>
          <w:sz w:val="24"/>
          <w:szCs w:val="24"/>
        </w:rPr>
        <w:t>Administration</w:t>
      </w:r>
    </w:p>
    <w:p>
      <w:pPr>
        <w:pStyle w:val="style179"/>
        <w:numPr>
          <w:ilvl w:val="0"/>
          <w:numId w:val="31"/>
        </w:numPr>
        <w:tabs>
          <w:tab w:val="left" w:leader="none" w:pos="426"/>
        </w:tabs>
        <w:rPr>
          <w:rFonts w:ascii="Calibri" w:cs="Calibri" w:eastAsia="Calibri" w:hAnsi="Calibri"/>
          <w:sz w:val="24"/>
          <w:szCs w:val="24"/>
        </w:rPr>
      </w:pPr>
      <w:r>
        <w:rPr>
          <w:rFonts w:ascii="Calibri" w:cs="Calibri" w:eastAsia="Calibri" w:hAnsi="Calibri"/>
          <w:sz w:val="24"/>
          <w:szCs w:val="24"/>
        </w:rPr>
        <w:t>Suivi -Evaluation</w:t>
      </w:r>
    </w:p>
    <w:p>
      <w:pPr>
        <w:pStyle w:val="style179"/>
        <w:numPr>
          <w:ilvl w:val="0"/>
          <w:numId w:val="31"/>
        </w:numPr>
        <w:tabs>
          <w:tab w:val="left" w:leader="none" w:pos="426"/>
        </w:tabs>
        <w:rPr>
          <w:rFonts w:ascii="Calibri" w:cs="Calibri" w:eastAsia="Calibri" w:hAnsi="Calibri"/>
          <w:b/>
          <w:sz w:val="24"/>
          <w:szCs w:val="24"/>
          <w:u w:val="single"/>
        </w:rPr>
      </w:pPr>
      <w:r>
        <w:rPr>
          <w:rFonts w:ascii="Calibri" w:cs="Calibri" w:eastAsia="Calibri" w:hAnsi="Calibri"/>
          <w:sz w:val="24"/>
          <w:szCs w:val="24"/>
        </w:rPr>
        <w:t>Mobilisateur /Facilitateur Communautaire</w:t>
      </w:r>
    </w:p>
    <w:p>
      <w:pPr>
        <w:pStyle w:val="style179"/>
        <w:numPr>
          <w:ilvl w:val="0"/>
          <w:numId w:val="31"/>
        </w:numPr>
        <w:tabs>
          <w:tab w:val="left" w:leader="none" w:pos="426"/>
        </w:tabs>
        <w:rPr>
          <w:rFonts w:ascii="Calibri" w:cs="Calibri" w:eastAsia="Calibri" w:hAnsi="Calibri"/>
          <w:b/>
          <w:sz w:val="24"/>
          <w:szCs w:val="24"/>
          <w:u w:val="single"/>
        </w:rPr>
      </w:pPr>
      <w:r>
        <w:rPr>
          <w:rFonts w:ascii="Calibri" w:cs="Calibri" w:eastAsia="Calibri" w:hAnsi="Calibri"/>
          <w:sz w:val="24"/>
          <w:szCs w:val="24"/>
        </w:rPr>
        <w:t xml:space="preserve">Gestion des ressources humaines   </w:t>
      </w:r>
    </w:p>
    <w:p>
      <w:pPr>
        <w:pStyle w:val="style179"/>
        <w:numPr>
          <w:ilvl w:val="0"/>
          <w:numId w:val="31"/>
        </w:numPr>
        <w:tabs>
          <w:tab w:val="left" w:leader="none" w:pos="426"/>
        </w:tabs>
        <w:rPr>
          <w:rFonts w:ascii="Calibri" w:cs="Calibri" w:eastAsia="Calibri" w:hAnsi="Calibri"/>
          <w:b/>
          <w:sz w:val="24"/>
          <w:szCs w:val="24"/>
          <w:u w:val="single"/>
        </w:rPr>
      </w:pPr>
      <w:r>
        <w:rPr>
          <w:rFonts w:ascii="Calibri" w:cs="Calibri" w:eastAsia="Calibri" w:hAnsi="Calibri"/>
          <w:sz w:val="24"/>
          <w:szCs w:val="24"/>
        </w:rPr>
        <w:t xml:space="preserve">Développement Social / Communautaire   </w:t>
      </w:r>
    </w:p>
    <w:p>
      <w:pPr>
        <w:pStyle w:val="style179"/>
        <w:numPr>
          <w:ilvl w:val="0"/>
          <w:numId w:val="31"/>
        </w:numPr>
        <w:tabs>
          <w:tab w:val="left" w:leader="none" w:pos="426"/>
        </w:tabs>
        <w:rPr>
          <w:rFonts w:ascii="Calibri" w:cs="Calibri" w:eastAsia="Calibri" w:hAnsi="Calibri"/>
          <w:b/>
          <w:sz w:val="24"/>
          <w:szCs w:val="24"/>
          <w:u w:val="single"/>
        </w:rPr>
      </w:pPr>
      <w:r>
        <w:rPr>
          <w:rFonts w:ascii="Calibri" w:cs="Calibri" w:eastAsia="Calibri" w:hAnsi="Calibri"/>
          <w:sz w:val="24"/>
          <w:szCs w:val="24"/>
        </w:rPr>
        <w:t xml:space="preserve">Conseiller juridique </w:t>
      </w:r>
    </w:p>
    <w:p>
      <w:pPr>
        <w:pStyle w:val="style179"/>
        <w:numPr>
          <w:ilvl w:val="0"/>
          <w:numId w:val="31"/>
        </w:numPr>
        <w:tabs>
          <w:tab w:val="left" w:leader="none" w:pos="426"/>
        </w:tabs>
        <w:rPr>
          <w:rFonts w:ascii="Calibri" w:cs="Calibri" w:eastAsia="Calibri" w:hAnsi="Calibri"/>
          <w:b/>
          <w:sz w:val="24"/>
          <w:szCs w:val="24"/>
          <w:u w:val="single"/>
        </w:rPr>
      </w:pPr>
      <w:r>
        <w:rPr>
          <w:rFonts w:ascii="Calibri" w:cs="Calibri" w:eastAsia="Calibri" w:hAnsi="Calibri"/>
          <w:sz w:val="24"/>
          <w:szCs w:val="24"/>
        </w:rPr>
        <w:t xml:space="preserve">Logistique/Ressources Humaines                                                                                                                                                                                                                                                                                                                                                                                                                                                                                                                                                                                                                                                                                                                                                                                                                                                                                                                                                                                                                                                                                                                                                                                                                                                                                                                                                                                                                                                                                                                                                      </w:t>
      </w:r>
    </w:p>
    <w:p>
      <w:pPr>
        <w:pStyle w:val="style0"/>
        <w:spacing w:after="0"/>
        <w:ind w:left="720"/>
        <w:jc w:val="center"/>
        <w:contextualSpacing/>
        <w:rPr>
          <w:rFonts w:ascii="Calibri" w:cs="Calibri" w:hAnsi="Calibri"/>
          <w:sz w:val="28"/>
          <w:szCs w:val="28"/>
        </w:rPr>
      </w:pPr>
      <w:r>
        <w:rPr>
          <w:rFonts w:ascii="Times New Roman" w:cs="Times New Roman" w:hAnsi="Times New Roman"/>
          <w:b/>
          <w:sz w:val="28"/>
          <w:szCs w:val="28"/>
          <w:u w:val="single"/>
        </w:rPr>
        <w:t>Langues utilisées</w:t>
      </w:r>
      <w:r>
        <w:rPr>
          <w:rFonts w:ascii="Times New Roman" w:cs="Times New Roman" w:hAnsi="Times New Roman"/>
          <w:b/>
          <w:sz w:val="28"/>
          <w:szCs w:val="28"/>
        </w:rPr>
        <w:t> :</w:t>
      </w:r>
    </w:p>
    <w:tbl>
      <w:tblPr>
        <w:tblStyle w:val="style4097"/>
        <w:tblW w:w="0" w:type="auto"/>
        <w:tblLook w:val="04A0" w:firstRow="1" w:lastRow="0" w:firstColumn="1" w:lastColumn="0" w:noHBand="0" w:noVBand="1"/>
      </w:tblPr>
      <w:tblGrid>
        <w:gridCol w:w="3070"/>
        <w:gridCol w:w="3071"/>
        <w:gridCol w:w="3071"/>
      </w:tblGrid>
      <w:tr>
        <w:trPr>
          <w:trHeight w:val="149" w:hRule="atLeast"/>
        </w:trPr>
        <w:tc>
          <w:tcPr>
            <w:tcW w:w="3070" w:type="dxa"/>
            <w:vMerge w:val="restart"/>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Langues</w:t>
            </w:r>
          </w:p>
        </w:tc>
        <w:tc>
          <w:tcPr>
            <w:tcW w:w="3071" w:type="dxa"/>
            <w:tcBorders>
              <w:bottom w:val="single" w:sz="4" w:space="0" w:color="auto"/>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 xml:space="preserve">              Parlées</w:t>
            </w:r>
          </w:p>
        </w:tc>
        <w:tc>
          <w:tcPr>
            <w:tcW w:w="3071" w:type="dxa"/>
            <w:tcBorders>
              <w:top w:val="single" w:sz="4" w:space="0" w:color="auto"/>
              <w:bottom w:val="single" w:sz="4" w:space="0" w:color="auto"/>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 xml:space="preserve">                  Ecrites</w:t>
            </w:r>
          </w:p>
        </w:tc>
      </w:tr>
      <w:tr>
        <w:tblPrEx/>
        <w:trPr>
          <w:trHeight w:val="136" w:hRule="atLeast"/>
        </w:trPr>
        <w:tc>
          <w:tcPr>
            <w:tcW w:w="3070" w:type="dxa"/>
            <w:vMerge w:val="continue"/>
            <w:tcBorders/>
          </w:tcPr>
          <w:p>
            <w:pPr>
              <w:pStyle w:val="style0"/>
              <w:tabs>
                <w:tab w:val="left" w:leader="none" w:pos="426"/>
              </w:tabs>
              <w:rPr>
                <w:rFonts w:ascii="Calibri" w:cs="Calibri" w:eastAsia="Calibri" w:hAnsi="Calibri"/>
                <w:b/>
                <w:sz w:val="24"/>
                <w:szCs w:val="24"/>
              </w:rPr>
            </w:pPr>
          </w:p>
        </w:tc>
        <w:tc>
          <w:tcPr>
            <w:tcW w:w="3071" w:type="dxa"/>
            <w:tcBorders>
              <w:top w:val="single" w:sz="4" w:space="0" w:color="auto"/>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 xml:space="preserve">              Niveau</w:t>
            </w:r>
          </w:p>
        </w:tc>
        <w:tc>
          <w:tcPr>
            <w:tcW w:w="3071" w:type="dxa"/>
            <w:tcBorders>
              <w:top w:val="single" w:sz="4" w:space="0" w:color="auto"/>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 xml:space="preserve">                 Niveau</w:t>
            </w:r>
          </w:p>
        </w:tc>
      </w:tr>
      <w:tr>
        <w:tblPrEx/>
        <w:trPr/>
        <w:tc>
          <w:tcPr>
            <w:tcW w:w="3070" w:type="dxa"/>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 xml:space="preserve">Français </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5</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5</w:t>
            </w:r>
          </w:p>
        </w:tc>
      </w:tr>
      <w:tr>
        <w:tblPrEx/>
        <w:trPr/>
        <w:tc>
          <w:tcPr>
            <w:tcW w:w="3070" w:type="dxa"/>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Anglais</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2</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4</w:t>
            </w:r>
          </w:p>
        </w:tc>
      </w:tr>
      <w:tr>
        <w:tblPrEx/>
        <w:trPr/>
        <w:tc>
          <w:tcPr>
            <w:tcW w:w="3070" w:type="dxa"/>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Songhaï</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5</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5</w:t>
            </w:r>
          </w:p>
        </w:tc>
      </w:tr>
      <w:tr>
        <w:tblPrEx/>
        <w:trPr/>
        <w:tc>
          <w:tcPr>
            <w:tcW w:w="3070" w:type="dxa"/>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Tamashek</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3</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1</w:t>
            </w:r>
          </w:p>
        </w:tc>
      </w:tr>
      <w:tr>
        <w:tblPrEx/>
        <w:trPr/>
        <w:tc>
          <w:tcPr>
            <w:tcW w:w="3070" w:type="dxa"/>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Arabe</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2</w:t>
            </w:r>
          </w:p>
        </w:tc>
        <w:tc>
          <w:tcPr>
            <w:tcW w:w="3071" w:type="dxa"/>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1</w:t>
            </w:r>
          </w:p>
        </w:tc>
      </w:tr>
      <w:tr>
        <w:tblPrEx/>
        <w:trPr>
          <w:trHeight w:val="315" w:hRule="atLeast"/>
        </w:trPr>
        <w:tc>
          <w:tcPr>
            <w:tcW w:w="3070" w:type="dxa"/>
            <w:tcBorders>
              <w:bottom w:val="single" w:sz="4" w:space="0" w:color="auto"/>
            </w:tcBorders>
          </w:tcPr>
          <w:p>
            <w:pPr>
              <w:pStyle w:val="style0"/>
              <w:tabs>
                <w:tab w:val="left" w:leader="none" w:pos="426"/>
              </w:tabs>
              <w:rPr>
                <w:rFonts w:ascii="Calibri" w:cs="Calibri" w:eastAsia="Calibri" w:hAnsi="Calibri"/>
                <w:b/>
                <w:sz w:val="24"/>
                <w:szCs w:val="24"/>
              </w:rPr>
            </w:pPr>
            <w:r>
              <w:rPr>
                <w:rFonts w:ascii="Calibri" w:cs="Calibri" w:eastAsia="Calibri" w:hAnsi="Calibri"/>
                <w:b/>
                <w:sz w:val="24"/>
                <w:szCs w:val="24"/>
              </w:rPr>
              <w:t>Bambara</w:t>
            </w:r>
          </w:p>
        </w:tc>
        <w:tc>
          <w:tcPr>
            <w:tcW w:w="3071" w:type="dxa"/>
            <w:tcBorders>
              <w:bottom w:val="single" w:sz="4" w:space="0" w:color="auto"/>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5</w:t>
            </w:r>
          </w:p>
        </w:tc>
        <w:tc>
          <w:tcPr>
            <w:tcW w:w="3071" w:type="dxa"/>
            <w:tcBorders>
              <w:bottom w:val="single" w:sz="4" w:space="0" w:color="auto"/>
            </w:tcBorders>
          </w:tcPr>
          <w:p>
            <w:pPr>
              <w:pStyle w:val="style0"/>
              <w:tabs>
                <w:tab w:val="left" w:leader="none" w:pos="426"/>
              </w:tabs>
              <w:rPr>
                <w:rFonts w:ascii="Calibri" w:cs="Calibri" w:eastAsia="Calibri" w:hAnsi="Calibri"/>
                <w:sz w:val="24"/>
                <w:szCs w:val="24"/>
              </w:rPr>
            </w:pPr>
            <w:r>
              <w:rPr>
                <w:rFonts w:ascii="Calibri" w:cs="Calibri" w:eastAsia="Calibri" w:hAnsi="Calibri"/>
                <w:sz w:val="24"/>
                <w:szCs w:val="24"/>
              </w:rPr>
              <w:t xml:space="preserve">                      3</w:t>
            </w:r>
          </w:p>
        </w:tc>
      </w:tr>
      <w:tr>
        <w:tblPrEx/>
        <w:trPr>
          <w:trHeight w:val="201" w:hRule="atLeast"/>
        </w:trPr>
        <w:tc>
          <w:tcPr>
            <w:tcW w:w="3070" w:type="dxa"/>
            <w:tcBorders>
              <w:top w:val="single" w:sz="4" w:space="0" w:color="auto"/>
            </w:tcBorders>
          </w:tcPr>
          <w:p>
            <w:pPr>
              <w:pStyle w:val="style0"/>
              <w:tabs>
                <w:tab w:val="left" w:leader="none" w:pos="426"/>
              </w:tabs>
              <w:rPr>
                <w:rFonts w:ascii="Calibri" w:cs="Calibri" w:eastAsia="Calibri" w:hAnsi="Calibri"/>
                <w:b/>
                <w:sz w:val="28"/>
                <w:szCs w:val="28"/>
              </w:rPr>
            </w:pPr>
            <w:r>
              <w:rPr>
                <w:rFonts w:ascii="Calibri" w:cs="Calibri" w:eastAsia="Calibri" w:hAnsi="Calibri"/>
                <w:b/>
                <w:sz w:val="28"/>
                <w:szCs w:val="28"/>
              </w:rPr>
              <w:t>Peulh</w:t>
            </w:r>
          </w:p>
        </w:tc>
        <w:tc>
          <w:tcPr>
            <w:tcW w:w="3071" w:type="dxa"/>
            <w:tcBorders>
              <w:top w:val="single" w:sz="4" w:space="0" w:color="auto"/>
            </w:tcBorders>
          </w:tcPr>
          <w:p>
            <w:pPr>
              <w:pStyle w:val="style0"/>
              <w:tabs>
                <w:tab w:val="left" w:leader="none" w:pos="426"/>
              </w:tabs>
              <w:jc w:val="center"/>
              <w:rPr>
                <w:rFonts w:ascii="Calibri" w:cs="Calibri" w:eastAsia="Calibri" w:hAnsi="Calibri"/>
                <w:sz w:val="28"/>
                <w:szCs w:val="28"/>
              </w:rPr>
            </w:pPr>
            <w:r>
              <w:rPr>
                <w:rFonts w:ascii="Calibri" w:cs="Calibri" w:eastAsia="Calibri" w:hAnsi="Calibri"/>
                <w:sz w:val="28"/>
                <w:szCs w:val="28"/>
              </w:rPr>
              <w:t>2</w:t>
            </w:r>
          </w:p>
        </w:tc>
        <w:tc>
          <w:tcPr>
            <w:tcW w:w="3071" w:type="dxa"/>
            <w:tcBorders>
              <w:top w:val="single" w:sz="4" w:space="0" w:color="auto"/>
            </w:tcBorders>
          </w:tcPr>
          <w:p>
            <w:pPr>
              <w:pStyle w:val="style0"/>
              <w:tabs>
                <w:tab w:val="left" w:leader="none" w:pos="426"/>
              </w:tabs>
              <w:rPr>
                <w:rFonts w:ascii="Calibri" w:cs="Calibri" w:eastAsia="Calibri" w:hAnsi="Calibri"/>
                <w:sz w:val="28"/>
                <w:szCs w:val="28"/>
              </w:rPr>
            </w:pPr>
            <w:r>
              <w:rPr>
                <w:rFonts w:ascii="Calibri" w:cs="Calibri" w:eastAsia="Calibri" w:hAnsi="Calibri"/>
                <w:sz w:val="28"/>
                <w:szCs w:val="28"/>
              </w:rPr>
              <w:t xml:space="preserve">                      1</w:t>
            </w:r>
          </w:p>
        </w:tc>
      </w:tr>
    </w:tbl>
    <w:p>
      <w:pPr>
        <w:pStyle w:val="style179"/>
        <w:tabs>
          <w:tab w:val="left" w:leader="none" w:pos="426"/>
        </w:tabs>
        <w:ind w:left="1005"/>
        <w:jc w:val="center"/>
        <w:rPr>
          <w:rFonts w:ascii="Calibri" w:cs="Calibri" w:eastAsia="Calibri" w:hAnsi="Calibri"/>
          <w:b/>
          <w:sz w:val="28"/>
          <w:szCs w:val="28"/>
        </w:rPr>
      </w:pPr>
      <w:r>
        <w:rPr>
          <w:rFonts w:cs="Calibri"/>
          <w:b/>
          <w:sz w:val="28"/>
          <w:szCs w:val="28"/>
          <w:u w:val="single"/>
        </w:rPr>
        <w:t>F-AUTRES</w:t>
      </w:r>
      <w:r>
        <w:rPr>
          <w:rFonts w:cs="Calibri"/>
          <w:b/>
        </w:rPr>
        <w:t> :</w:t>
      </w:r>
    </w:p>
    <w:p>
      <w:pPr>
        <w:pStyle w:val="style179"/>
        <w:tabs>
          <w:tab w:val="left" w:leader="none" w:pos="426"/>
        </w:tabs>
        <w:ind w:left="1005"/>
        <w:rPr>
          <w:rFonts w:ascii="Calibri" w:cs="Calibri" w:eastAsia="Calibri" w:hAnsi="Calibri"/>
          <w:b/>
          <w:sz w:val="24"/>
          <w:szCs w:val="24"/>
        </w:rPr>
      </w:pPr>
      <w:r>
        <w:rPr>
          <w:rFonts w:ascii="Calibri" w:cs="Calibri" w:eastAsia="Calibri" w:hAnsi="Calibri"/>
          <w:b/>
          <w:sz w:val="24"/>
          <w:szCs w:val="24"/>
        </w:rPr>
        <w:t xml:space="preserve">Permis de Conduire catégorie B (Maitrise absolue du code de la route et des engins à quatre roues et deux roues)                                                                                   </w:t>
      </w:r>
    </w:p>
    <w:p>
      <w:pPr>
        <w:pStyle w:val="style179"/>
        <w:tabs>
          <w:tab w:val="left" w:leader="none" w:pos="426"/>
        </w:tabs>
        <w:ind w:left="1005"/>
        <w:rPr>
          <w:rFonts w:ascii="Calibri" w:cs="Calibri" w:eastAsia="Calibri" w:hAnsi="Calibri"/>
          <w:b/>
          <w:sz w:val="24"/>
          <w:szCs w:val="24"/>
        </w:rPr>
      </w:pPr>
    </w:p>
    <w:p>
      <w:pPr>
        <w:pStyle w:val="style179"/>
        <w:tabs>
          <w:tab w:val="left" w:leader="none" w:pos="426"/>
        </w:tabs>
        <w:ind w:left="1005"/>
        <w:rPr>
          <w:rFonts w:ascii="Calibri" w:cs="Calibri" w:eastAsia="Calibri" w:hAnsi="Calibri"/>
          <w:b/>
          <w:sz w:val="24"/>
          <w:szCs w:val="24"/>
        </w:rPr>
      </w:pPr>
    </w:p>
    <w:p>
      <w:pPr>
        <w:pStyle w:val="style179"/>
        <w:tabs>
          <w:tab w:val="left" w:leader="none" w:pos="426"/>
        </w:tabs>
        <w:ind w:left="1005"/>
        <w:rPr>
          <w:rFonts w:ascii="Calibri" w:cs="Calibri" w:eastAsia="Calibri" w:hAnsi="Calibri"/>
          <w:sz w:val="24"/>
          <w:szCs w:val="24"/>
        </w:rPr>
      </w:pPr>
      <w:r>
        <w:rPr>
          <w:rFonts w:ascii="Calibri" w:cs="Calibri" w:eastAsia="Calibri" w:hAnsi="Calibri"/>
          <w:b/>
          <w:sz w:val="24"/>
          <w:szCs w:val="24"/>
          <w:u w:val="single"/>
        </w:rPr>
        <w:t>NB</w:t>
      </w:r>
      <w:r>
        <w:rPr>
          <w:rFonts w:ascii="Calibri" w:cs="Calibri" w:eastAsia="Calibri" w:hAnsi="Calibri"/>
          <w:b/>
          <w:sz w:val="24"/>
          <w:szCs w:val="24"/>
        </w:rPr>
        <w:t> </w:t>
      </w:r>
      <w:r>
        <w:rPr>
          <w:rFonts w:ascii="Calibri" w:cs="Calibri" w:eastAsia="Calibri" w:hAnsi="Calibri"/>
          <w:sz w:val="24"/>
          <w:szCs w:val="24"/>
        </w:rPr>
        <w:t>: Les personnes de références à contacter</w:t>
      </w:r>
      <w:r>
        <w:rPr>
          <w:rFonts w:ascii="Calibri" w:cs="Calibri" w:eastAsia="Calibri" w:hAnsi="Calibri"/>
          <w:sz w:val="24"/>
          <w:szCs w:val="24"/>
        </w:rPr>
        <w:t xml:space="preserve"> en cas de besoin.</w:t>
      </w:r>
    </w:p>
    <w:tbl>
      <w:tblPr>
        <w:tblStyle w:val="style4098"/>
        <w:tblW w:w="9464" w:type="dxa"/>
        <w:tblInd w:w="38" w:type="dxa"/>
        <w:tblLayout w:type="fixed"/>
        <w:tblLook w:val="04A0" w:firstRow="1" w:lastRow="0" w:firstColumn="1" w:lastColumn="0" w:noHBand="0" w:noVBand="1"/>
      </w:tblPr>
      <w:tblGrid>
        <w:gridCol w:w="1712"/>
        <w:gridCol w:w="9"/>
        <w:gridCol w:w="1615"/>
        <w:gridCol w:w="27"/>
        <w:gridCol w:w="1990"/>
        <w:gridCol w:w="2410"/>
        <w:gridCol w:w="1701"/>
      </w:tblGrid>
      <w:tr>
        <w:trPr>
          <w:trHeight w:val="693" w:hRule="atLeast"/>
        </w:trPr>
        <w:tc>
          <w:tcPr>
            <w:tcW w:w="1712" w:type="dxa"/>
            <w:tcBorders/>
          </w:tcPr>
          <w:p>
            <w:pPr>
              <w:pStyle w:val="style0"/>
              <w:tabs>
                <w:tab w:val="right" w:leader="none" w:pos="2021"/>
              </w:tabs>
              <w:rPr>
                <w:b/>
                <w:sz w:val="24"/>
                <w:szCs w:val="24"/>
              </w:rPr>
            </w:pPr>
            <w:r>
              <w:rPr>
                <w:b/>
                <w:sz w:val="24"/>
                <w:szCs w:val="24"/>
              </w:rPr>
              <w:t>PRENOM</w:t>
            </w:r>
            <w:r>
              <w:rPr>
                <w:b/>
                <w:sz w:val="24"/>
                <w:szCs w:val="24"/>
              </w:rPr>
              <w:tab/>
            </w:r>
          </w:p>
        </w:tc>
        <w:tc>
          <w:tcPr>
            <w:tcW w:w="1624" w:type="dxa"/>
            <w:gridSpan w:val="2"/>
            <w:tcBorders/>
          </w:tcPr>
          <w:p>
            <w:pPr>
              <w:pStyle w:val="style0"/>
              <w:rPr>
                <w:b/>
                <w:sz w:val="24"/>
                <w:szCs w:val="24"/>
              </w:rPr>
            </w:pPr>
            <w:r>
              <w:rPr>
                <w:b/>
                <w:sz w:val="24"/>
                <w:szCs w:val="24"/>
              </w:rPr>
              <w:t>NOM</w:t>
            </w:r>
          </w:p>
        </w:tc>
        <w:tc>
          <w:tcPr>
            <w:tcW w:w="2017" w:type="dxa"/>
            <w:gridSpan w:val="2"/>
            <w:tcBorders/>
          </w:tcPr>
          <w:p>
            <w:pPr>
              <w:pStyle w:val="style0"/>
              <w:rPr>
                <w:b/>
                <w:sz w:val="24"/>
                <w:szCs w:val="24"/>
              </w:rPr>
            </w:pPr>
            <w:r>
              <w:rPr>
                <w:b/>
                <w:sz w:val="24"/>
                <w:szCs w:val="24"/>
              </w:rPr>
              <w:t>SERVICES</w:t>
            </w:r>
          </w:p>
        </w:tc>
        <w:tc>
          <w:tcPr>
            <w:tcW w:w="2410" w:type="dxa"/>
            <w:tcBorders/>
          </w:tcPr>
          <w:p>
            <w:pPr>
              <w:pStyle w:val="style0"/>
              <w:rPr>
                <w:b/>
                <w:sz w:val="24"/>
                <w:szCs w:val="24"/>
              </w:rPr>
            </w:pPr>
            <w:r>
              <w:rPr>
                <w:b/>
                <w:sz w:val="24"/>
                <w:szCs w:val="24"/>
              </w:rPr>
              <w:t>PROFESSION</w:t>
            </w:r>
          </w:p>
        </w:tc>
        <w:tc>
          <w:tcPr>
            <w:tcW w:w="1701" w:type="dxa"/>
            <w:tcBorders/>
          </w:tcPr>
          <w:p>
            <w:pPr>
              <w:pStyle w:val="style0"/>
              <w:rPr>
                <w:b/>
                <w:sz w:val="24"/>
                <w:szCs w:val="24"/>
              </w:rPr>
            </w:pPr>
            <w:r>
              <w:rPr>
                <w:b/>
                <w:sz w:val="24"/>
                <w:szCs w:val="24"/>
              </w:rPr>
              <w:t>CONTACT</w:t>
            </w:r>
          </w:p>
        </w:tc>
      </w:tr>
      <w:tr>
        <w:tblPrEx/>
        <w:trPr>
          <w:trHeight w:val="845" w:hRule="atLeast"/>
        </w:trPr>
        <w:tc>
          <w:tcPr>
            <w:tcW w:w="1712" w:type="dxa"/>
            <w:tcBorders/>
          </w:tcPr>
          <w:p>
            <w:pPr>
              <w:pStyle w:val="style0"/>
              <w:spacing w:after="200" w:lineRule="auto" w:line="276"/>
              <w:ind w:left="108"/>
              <w:rPr>
                <w:b/>
              </w:rPr>
            </w:pPr>
          </w:p>
          <w:p>
            <w:pPr>
              <w:pStyle w:val="style0"/>
              <w:spacing w:after="200" w:lineRule="auto" w:line="276"/>
              <w:ind w:left="108"/>
              <w:rPr>
                <w:b/>
              </w:rPr>
            </w:pPr>
            <w:r>
              <w:rPr>
                <w:b/>
              </w:rPr>
              <w:t>Rissa</w:t>
            </w:r>
            <w:r>
              <w:rPr>
                <w:b/>
              </w:rPr>
              <w:t xml:space="preserve"> </w:t>
            </w:r>
            <w:r>
              <w:rPr>
                <w:b/>
              </w:rPr>
              <w:t>Ag</w:t>
            </w:r>
          </w:p>
          <w:p>
            <w:pPr>
              <w:pStyle w:val="style0"/>
              <w:rPr>
                <w:b/>
                <w:sz w:val="24"/>
                <w:szCs w:val="24"/>
              </w:rPr>
            </w:pPr>
          </w:p>
        </w:tc>
        <w:tc>
          <w:tcPr>
            <w:tcW w:w="1624" w:type="dxa"/>
            <w:gridSpan w:val="2"/>
            <w:tcBorders/>
          </w:tcPr>
          <w:p>
            <w:pPr>
              <w:pStyle w:val="style0"/>
              <w:ind w:left="108"/>
              <w:rPr>
                <w:b/>
              </w:rPr>
            </w:pPr>
          </w:p>
          <w:p>
            <w:pPr>
              <w:pStyle w:val="style0"/>
              <w:ind w:left="108"/>
              <w:rPr>
                <w:b/>
              </w:rPr>
            </w:pPr>
          </w:p>
          <w:p>
            <w:pPr>
              <w:pStyle w:val="style0"/>
              <w:rPr>
                <w:b/>
                <w:sz w:val="24"/>
                <w:szCs w:val="24"/>
              </w:rPr>
            </w:pPr>
            <w:r>
              <w:rPr>
                <w:b/>
              </w:rPr>
              <w:t>Mittène</w:t>
            </w:r>
          </w:p>
        </w:tc>
        <w:tc>
          <w:tcPr>
            <w:tcW w:w="2017" w:type="dxa"/>
            <w:gridSpan w:val="2"/>
            <w:tcBorders/>
          </w:tcPr>
          <w:p>
            <w:pPr>
              <w:pStyle w:val="style0"/>
              <w:ind w:left="108"/>
              <w:rPr>
                <w:b/>
              </w:rPr>
            </w:pPr>
          </w:p>
          <w:p>
            <w:pPr>
              <w:pStyle w:val="style0"/>
              <w:ind w:left="108"/>
              <w:rPr>
                <w:b/>
              </w:rPr>
            </w:pPr>
          </w:p>
          <w:p>
            <w:pPr>
              <w:pStyle w:val="style0"/>
              <w:rPr>
                <w:b/>
                <w:sz w:val="24"/>
                <w:szCs w:val="24"/>
              </w:rPr>
            </w:pPr>
            <w:r>
              <w:rPr>
                <w:b/>
              </w:rPr>
              <w:t>ADRA MALI</w:t>
            </w:r>
          </w:p>
        </w:tc>
        <w:tc>
          <w:tcPr>
            <w:tcW w:w="2410" w:type="dxa"/>
            <w:tcBorders/>
          </w:tcPr>
          <w:p>
            <w:pPr>
              <w:pStyle w:val="style0"/>
              <w:rPr>
                <w:b/>
              </w:rPr>
            </w:pPr>
          </w:p>
          <w:p>
            <w:pPr>
              <w:pStyle w:val="style0"/>
              <w:rPr>
                <w:b/>
              </w:rPr>
            </w:pPr>
          </w:p>
          <w:p>
            <w:pPr>
              <w:pStyle w:val="style0"/>
              <w:rPr>
                <w:b/>
              </w:rPr>
            </w:pPr>
            <w:r>
              <w:rPr>
                <w:b/>
              </w:rPr>
              <w:t>CHEF DE PROJET SEAQE</w:t>
            </w:r>
          </w:p>
          <w:p>
            <w:pPr>
              <w:pStyle w:val="style0"/>
              <w:rPr>
                <w:b/>
                <w:sz w:val="24"/>
                <w:szCs w:val="24"/>
              </w:rPr>
            </w:pPr>
            <w:r>
              <w:rPr>
                <w:b/>
              </w:rPr>
              <w:t>ADRA-MALI</w:t>
            </w:r>
          </w:p>
        </w:tc>
        <w:tc>
          <w:tcPr>
            <w:tcW w:w="1701" w:type="dxa"/>
            <w:tcBorders/>
          </w:tcPr>
          <w:p>
            <w:pPr>
              <w:pStyle w:val="style0"/>
              <w:ind w:left="108"/>
              <w:rPr>
                <w:b/>
              </w:rPr>
            </w:pPr>
            <w:r>
              <w:rPr>
                <w:b/>
              </w:rPr>
              <w:t>79 06 18 71</w:t>
            </w:r>
          </w:p>
          <w:p>
            <w:pPr>
              <w:pStyle w:val="style0"/>
              <w:ind w:left="108"/>
              <w:rPr>
                <w:b/>
              </w:rPr>
            </w:pPr>
            <w:r>
              <w:rPr>
                <w:b/>
              </w:rPr>
              <w:t>66 03 33 44</w:t>
            </w:r>
          </w:p>
          <w:p>
            <w:pPr>
              <w:pStyle w:val="style0"/>
              <w:rPr>
                <w:b/>
                <w:sz w:val="24"/>
                <w:szCs w:val="24"/>
              </w:rPr>
            </w:pPr>
            <w:r>
              <w:rPr>
                <w:b/>
              </w:rPr>
              <w:t>agmittenerissa@yahoo.fr</w:t>
            </w:r>
          </w:p>
        </w:tc>
      </w:tr>
      <w:tr>
        <w:tblPrEx/>
        <w:trPr>
          <w:trHeight w:val="842" w:hRule="atLeast"/>
        </w:trPr>
        <w:tc>
          <w:tcPr>
            <w:tcW w:w="1712" w:type="dxa"/>
            <w:tcBorders/>
          </w:tcPr>
          <w:p>
            <w:pPr>
              <w:pStyle w:val="style0"/>
              <w:rPr>
                <w:b/>
                <w:sz w:val="24"/>
                <w:szCs w:val="24"/>
              </w:rPr>
            </w:pPr>
          </w:p>
          <w:p>
            <w:pPr>
              <w:pStyle w:val="style0"/>
              <w:jc w:val="center"/>
              <w:rPr>
                <w:b/>
                <w:sz w:val="24"/>
                <w:szCs w:val="24"/>
              </w:rPr>
            </w:pPr>
            <w:r>
              <w:rPr>
                <w:b/>
                <w:sz w:val="24"/>
                <w:szCs w:val="24"/>
              </w:rPr>
              <w:t>Abdoulaye M</w:t>
            </w:r>
          </w:p>
        </w:tc>
        <w:tc>
          <w:tcPr>
            <w:tcW w:w="1624" w:type="dxa"/>
            <w:gridSpan w:val="2"/>
            <w:tcBorders/>
          </w:tcPr>
          <w:p>
            <w:pPr>
              <w:pStyle w:val="style0"/>
              <w:rPr>
                <w:b/>
                <w:sz w:val="24"/>
                <w:szCs w:val="24"/>
              </w:rPr>
            </w:pPr>
          </w:p>
          <w:p>
            <w:pPr>
              <w:pStyle w:val="style0"/>
              <w:rPr>
                <w:b/>
                <w:sz w:val="24"/>
                <w:szCs w:val="24"/>
              </w:rPr>
            </w:pPr>
            <w:r>
              <w:rPr>
                <w:b/>
                <w:sz w:val="24"/>
                <w:szCs w:val="24"/>
              </w:rPr>
              <w:t>Cissé</w:t>
            </w:r>
          </w:p>
        </w:tc>
        <w:tc>
          <w:tcPr>
            <w:tcW w:w="2017" w:type="dxa"/>
            <w:gridSpan w:val="2"/>
            <w:tcBorders/>
          </w:tcPr>
          <w:p>
            <w:pPr>
              <w:pStyle w:val="style0"/>
              <w:rPr>
                <w:b/>
                <w:sz w:val="24"/>
                <w:szCs w:val="24"/>
              </w:rPr>
            </w:pPr>
            <w:r>
              <w:rPr>
                <w:b/>
                <w:sz w:val="24"/>
                <w:szCs w:val="24"/>
              </w:rPr>
              <w:t>Ministère de l’enseignement supérieur et de la recherche scientifique</w:t>
            </w:r>
          </w:p>
        </w:tc>
        <w:tc>
          <w:tcPr>
            <w:tcW w:w="2410" w:type="dxa"/>
            <w:tcBorders/>
          </w:tcPr>
          <w:p>
            <w:pPr>
              <w:pStyle w:val="style0"/>
              <w:rPr>
                <w:b/>
                <w:sz w:val="24"/>
                <w:szCs w:val="24"/>
              </w:rPr>
            </w:pPr>
            <w:r>
              <w:rPr>
                <w:b/>
                <w:sz w:val="24"/>
                <w:szCs w:val="24"/>
              </w:rPr>
              <w:t>Insepecteur</w:t>
            </w:r>
            <w:r>
              <w:rPr>
                <w:b/>
                <w:sz w:val="24"/>
                <w:szCs w:val="24"/>
              </w:rPr>
              <w:t xml:space="preserve"> des services </w:t>
            </w:r>
            <w:r>
              <w:rPr>
                <w:b/>
                <w:sz w:val="24"/>
                <w:szCs w:val="24"/>
              </w:rPr>
              <w:t>économques</w:t>
            </w:r>
          </w:p>
          <w:p>
            <w:pPr>
              <w:pStyle w:val="style0"/>
              <w:rPr>
                <w:b/>
                <w:sz w:val="24"/>
                <w:szCs w:val="24"/>
              </w:rPr>
            </w:pPr>
            <w:r>
              <w:rPr>
                <w:b/>
                <w:sz w:val="24"/>
                <w:szCs w:val="24"/>
              </w:rPr>
              <w:t>Directeur adjoint DFM</w:t>
            </w:r>
          </w:p>
        </w:tc>
        <w:tc>
          <w:tcPr>
            <w:tcW w:w="1701" w:type="dxa"/>
            <w:tcBorders/>
          </w:tcPr>
          <w:p>
            <w:pPr>
              <w:pStyle w:val="style0"/>
              <w:rPr>
                <w:b/>
                <w:sz w:val="24"/>
                <w:szCs w:val="24"/>
              </w:rPr>
            </w:pPr>
            <w:r>
              <w:rPr/>
              <w:fldChar w:fldCharType="begin"/>
            </w:r>
            <w:r>
              <w:instrText xml:space="preserve"> HYPERLINK "mailto:amcisse@yahoo.fr" </w:instrText>
            </w:r>
            <w:r>
              <w:rPr/>
              <w:fldChar w:fldCharType="separate"/>
            </w:r>
            <w:r>
              <w:rPr>
                <w:rStyle w:val="style85"/>
                <w:b/>
                <w:sz w:val="24"/>
                <w:szCs w:val="24"/>
              </w:rPr>
              <w:t>amcisse@yahoo.fr</w:t>
            </w:r>
            <w:r>
              <w:rPr/>
              <w:fldChar w:fldCharType="end"/>
            </w:r>
          </w:p>
          <w:p>
            <w:pPr>
              <w:pStyle w:val="style0"/>
              <w:rPr>
                <w:b/>
                <w:sz w:val="24"/>
                <w:szCs w:val="24"/>
              </w:rPr>
            </w:pPr>
          </w:p>
          <w:p>
            <w:pPr>
              <w:pStyle w:val="style0"/>
              <w:rPr>
                <w:b/>
                <w:sz w:val="24"/>
                <w:szCs w:val="24"/>
              </w:rPr>
            </w:pPr>
            <w:r>
              <w:rPr>
                <w:b/>
                <w:sz w:val="24"/>
                <w:szCs w:val="24"/>
              </w:rPr>
              <w:t>76 17 00 79</w:t>
            </w:r>
            <w:bookmarkStart w:id="0" w:name="_GoBack"/>
            <w:bookmarkEnd w:id="0"/>
          </w:p>
        </w:tc>
      </w:tr>
      <w:tr>
        <w:tblPrEx>
          <w:tblLook w:val="0000" w:firstRow="0" w:lastRow="0" w:firstColumn="0" w:lastColumn="0" w:noHBand="0" w:noVBand="0"/>
          <w:tblCellMar>
            <w:left w:w="70" w:type="dxa"/>
            <w:right w:w="70" w:type="dxa"/>
          </w:tblCellMar>
        </w:tblPrEx>
        <w:trPr>
          <w:trHeight w:val="1290" w:hRule="atLeast"/>
        </w:trPr>
        <w:tc>
          <w:tcPr>
            <w:tcW w:w="1721" w:type="dxa"/>
            <w:gridSpan w:val="2"/>
            <w:tcBorders/>
          </w:tcPr>
          <w:p>
            <w:pPr>
              <w:pStyle w:val="style0"/>
              <w:rPr>
                <w:sz w:val="24"/>
                <w:szCs w:val="24"/>
              </w:rPr>
            </w:pPr>
          </w:p>
          <w:p>
            <w:pPr>
              <w:pStyle w:val="style0"/>
              <w:rPr>
                <w:sz w:val="24"/>
                <w:szCs w:val="24"/>
              </w:rPr>
            </w:pPr>
          </w:p>
          <w:p>
            <w:pPr>
              <w:pStyle w:val="style0"/>
              <w:rPr>
                <w:b/>
                <w:sz w:val="24"/>
                <w:szCs w:val="24"/>
              </w:rPr>
            </w:pPr>
            <w:r>
              <w:rPr>
                <w:b/>
                <w:sz w:val="24"/>
                <w:szCs w:val="24"/>
              </w:rPr>
              <w:t xml:space="preserve">Sidi Ahmed </w:t>
            </w:r>
          </w:p>
        </w:tc>
        <w:tc>
          <w:tcPr>
            <w:tcW w:w="1642" w:type="dxa"/>
            <w:gridSpan w:val="2"/>
            <w:tcBorders/>
          </w:tcPr>
          <w:p>
            <w:pPr>
              <w:pStyle w:val="style0"/>
              <w:rPr>
                <w:b/>
                <w:sz w:val="24"/>
                <w:szCs w:val="24"/>
              </w:rPr>
            </w:pPr>
          </w:p>
          <w:p>
            <w:pPr>
              <w:pStyle w:val="style0"/>
              <w:rPr>
                <w:b/>
                <w:sz w:val="24"/>
                <w:szCs w:val="24"/>
              </w:rPr>
            </w:pPr>
          </w:p>
          <w:p>
            <w:pPr>
              <w:pStyle w:val="style0"/>
              <w:rPr>
                <w:b/>
                <w:sz w:val="24"/>
                <w:szCs w:val="24"/>
              </w:rPr>
            </w:pPr>
            <w:r>
              <w:rPr>
                <w:b/>
                <w:sz w:val="24"/>
                <w:szCs w:val="24"/>
              </w:rPr>
              <w:t>Adiawiakoye</w:t>
            </w:r>
          </w:p>
        </w:tc>
        <w:tc>
          <w:tcPr>
            <w:tcW w:w="1990" w:type="dxa"/>
            <w:tcBorders/>
          </w:tcPr>
          <w:p>
            <w:pPr>
              <w:pStyle w:val="style0"/>
              <w:rPr>
                <w:b/>
                <w:sz w:val="24"/>
                <w:szCs w:val="24"/>
              </w:rPr>
            </w:pPr>
            <w:r>
              <w:rPr>
                <w:b/>
                <w:sz w:val="24"/>
                <w:szCs w:val="24"/>
              </w:rPr>
              <w:t>Bureau de la Coordination des Affaires Humanitaires des Nations Unies</w:t>
            </w:r>
          </w:p>
          <w:p>
            <w:pPr>
              <w:pStyle w:val="style0"/>
              <w:rPr>
                <w:b/>
                <w:sz w:val="24"/>
                <w:szCs w:val="24"/>
              </w:rPr>
            </w:pPr>
          </w:p>
        </w:tc>
        <w:tc>
          <w:tcPr>
            <w:tcW w:w="2410" w:type="dxa"/>
            <w:tcBorders/>
          </w:tcPr>
          <w:p>
            <w:pPr>
              <w:pStyle w:val="style0"/>
              <w:rPr>
                <w:b/>
                <w:sz w:val="24"/>
                <w:szCs w:val="24"/>
              </w:rPr>
            </w:pPr>
            <w:r>
              <w:rPr>
                <w:b/>
                <w:sz w:val="24"/>
                <w:szCs w:val="24"/>
              </w:rPr>
              <w:t>Chargé National des affaires Humanitaires</w:t>
            </w:r>
          </w:p>
          <w:p>
            <w:pPr>
              <w:pStyle w:val="style0"/>
              <w:rPr>
                <w:b/>
                <w:sz w:val="24"/>
                <w:szCs w:val="24"/>
              </w:rPr>
            </w:pPr>
            <w:r>
              <w:rPr>
                <w:b/>
                <w:sz w:val="24"/>
                <w:szCs w:val="24"/>
              </w:rPr>
              <w:t>OCHA /Tombouctou</w:t>
            </w:r>
          </w:p>
        </w:tc>
        <w:tc>
          <w:tcPr>
            <w:tcW w:w="1701" w:type="dxa"/>
            <w:tcBorders/>
          </w:tcPr>
          <w:p>
            <w:pPr>
              <w:pStyle w:val="style0"/>
              <w:rPr>
                <w:rFonts w:ascii="Calibri,Bold" w:cs="Calibri,Bold" w:hAnsi="Calibri,Bold"/>
                <w:b/>
                <w:bCs/>
                <w:sz w:val="24"/>
                <w:szCs w:val="24"/>
              </w:rPr>
            </w:pPr>
            <w:r>
              <w:rPr/>
              <w:fldChar w:fldCharType="begin"/>
            </w:r>
            <w:r>
              <w:instrText xml:space="preserve"> HYPERLINK "mailto:adiawiakoye@un.org" </w:instrText>
            </w:r>
            <w:r>
              <w:rPr/>
              <w:fldChar w:fldCharType="separate"/>
            </w:r>
            <w:r>
              <w:rPr>
                <w:rFonts w:ascii="Calibri,Bold" w:cs="Calibri,Bold" w:hAnsi="Calibri,Bold"/>
                <w:b/>
                <w:bCs/>
                <w:color w:val="0000ff"/>
                <w:sz w:val="24"/>
                <w:szCs w:val="24"/>
                <w:u w:val="single"/>
              </w:rPr>
              <w:t>adiawiakoye@un.org</w:t>
            </w:r>
            <w:r>
              <w:rPr/>
              <w:fldChar w:fldCharType="end"/>
            </w:r>
          </w:p>
          <w:p>
            <w:pPr>
              <w:pStyle w:val="style0"/>
              <w:rPr>
                <w:rFonts w:ascii="Calibri,Bold" w:cs="Calibri,Bold" w:hAnsi="Calibri,Bold"/>
                <w:b/>
                <w:bCs/>
                <w:sz w:val="24"/>
                <w:szCs w:val="24"/>
              </w:rPr>
            </w:pPr>
          </w:p>
          <w:p>
            <w:pPr>
              <w:pStyle w:val="style0"/>
              <w:rPr>
                <w:rFonts w:ascii="Calibri,Bold" w:cs="Calibri,Bold" w:hAnsi="Calibri,Bold"/>
                <w:b/>
                <w:bCs/>
                <w:sz w:val="24"/>
                <w:szCs w:val="24"/>
              </w:rPr>
            </w:pPr>
            <w:r>
              <w:rPr>
                <w:rFonts w:ascii="Calibri,Bold" w:cs="Calibri,Bold" w:hAnsi="Calibri,Bold"/>
                <w:b/>
                <w:bCs/>
                <w:sz w:val="24"/>
                <w:szCs w:val="24"/>
              </w:rPr>
              <w:t xml:space="preserve">76 02 40 08 </w:t>
            </w:r>
          </w:p>
          <w:p>
            <w:pPr>
              <w:pStyle w:val="style0"/>
              <w:rPr>
                <w:sz w:val="24"/>
                <w:szCs w:val="24"/>
              </w:rPr>
            </w:pPr>
            <w:r>
              <w:rPr>
                <w:rFonts w:ascii="Calibri,Bold" w:cs="Calibri,Bold" w:hAnsi="Calibri,Bold"/>
                <w:b/>
                <w:bCs/>
                <w:sz w:val="24"/>
                <w:szCs w:val="24"/>
              </w:rPr>
              <w:t>75 99 57 65</w:t>
            </w:r>
          </w:p>
        </w:tc>
      </w:tr>
    </w:tbl>
    <w:p>
      <w:pPr>
        <w:pStyle w:val="style0"/>
        <w:tabs>
          <w:tab w:val="left" w:leader="none" w:pos="426"/>
        </w:tabs>
        <w:jc w:val="center"/>
        <w:rPr>
          <w:rFonts w:ascii="Calibri" w:cs="Calibri" w:eastAsia="Calibri" w:hAnsi="Calibri"/>
          <w:sz w:val="24"/>
          <w:szCs w:val="24"/>
        </w:rPr>
      </w:pPr>
    </w:p>
    <w:p>
      <w:pPr>
        <w:pStyle w:val="style0"/>
        <w:tabs>
          <w:tab w:val="left" w:leader="none" w:pos="426"/>
        </w:tabs>
        <w:jc w:val="center"/>
        <w:rPr>
          <w:rFonts w:ascii="Calibri" w:cs="Calibri" w:eastAsia="Calibri" w:hAnsi="Calibri"/>
          <w:sz w:val="24"/>
          <w:szCs w:val="24"/>
        </w:rPr>
      </w:pPr>
      <w:r>
        <w:rPr>
          <w:rFonts w:ascii="Calibri" w:cs="Calibri" w:eastAsia="Calibri" w:hAnsi="Calibri"/>
          <w:sz w:val="24"/>
          <w:szCs w:val="24"/>
        </w:rPr>
        <w:t xml:space="preserve">Je certifie que les informations fournis ci-dessus  sont toutes exactes  et reflètent de mon parcours académique et professionnel.                        </w:t>
      </w:r>
    </w:p>
    <w:p>
      <w:pPr>
        <w:pStyle w:val="style0"/>
        <w:tabs>
          <w:tab w:val="left" w:leader="none" w:pos="426"/>
        </w:tabs>
        <w:jc w:val="center"/>
        <w:rPr>
          <w:rFonts w:ascii="Calibri" w:cs="Calibri" w:eastAsia="Calibri" w:hAnsi="Calibri"/>
          <w:sz w:val="24"/>
          <w:szCs w:val="24"/>
        </w:rPr>
      </w:pPr>
      <w:r>
        <w:rPr>
          <w:rFonts w:ascii="Calibri" w:cs="Calibri" w:eastAsia="Calibri" w:hAnsi="Calibri"/>
          <w:b/>
          <w:sz w:val="24"/>
          <w:szCs w:val="24"/>
          <w:u w:val="single"/>
        </w:rPr>
        <w:t>Aboubacrine Ould Souleymane</w:t>
      </w:r>
    </w:p>
    <w:p>
      <w:pPr>
        <w:pStyle w:val="style0"/>
        <w:jc w:val="center"/>
        <w:rPr/>
      </w:pPr>
      <w:r>
        <w:rPr>
          <w:rFonts w:ascii="Times New Roman" w:cs="Times New Roman" w:hAnsi="Times New Roman"/>
          <w:b/>
          <w:noProof/>
          <w:lang w:eastAsia="fr-FR"/>
        </w:rPr>
        <w:drawing>
          <wp:inline distL="0" distT="0" distB="0" distR="0">
            <wp:extent cx="2314575" cy="1189906"/>
            <wp:effectExtent l="0" t="0" r="0" b="0"/>
            <wp:docPr id="1026" name="Imag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2" cstate="print"/>
                    <a:srcRect l="0" t="0" r="0" b="0"/>
                    <a:stretch/>
                  </pic:blipFill>
                  <pic:spPr>
                    <a:xfrm rot="0">
                      <a:off x="0" y="0"/>
                      <a:ext cx="2314575" cy="1189906"/>
                    </a:xfrm>
                    <a:prstGeom prst="rect"/>
                  </pic:spPr>
                </pic:pic>
              </a:graphicData>
            </a:graphic>
          </wp:inline>
        </w:drawing>
      </w:r>
    </w:p>
    <w:sectPr>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Arial Unicode MS">
    <w:altName w:val="Arial Unicode MS"/>
    <w:panose1 w:val="020b0604020002020204"/>
    <w:charset w:val="80"/>
    <w:family w:val="swiss"/>
    <w:pitch w:val="variable"/>
    <w:sig w:usb0="F7FFAFFF" w:usb1="E9DFFFFF" w:usb2="0000003F" w:usb3="00000000" w:csb0="003F01FF" w:csb1="00000000"/>
  </w:font>
  <w:font w:name="MingLiU">
    <w:altName w:val="細明體"/>
    <w:panose1 w:val="02010609000001010101"/>
    <w:charset w:val="88"/>
    <w:family w:val="modern"/>
    <w:pitch w:val="fixed"/>
    <w:sig w:usb0="00000001" w:usb1="08080000" w:usb2="00000010" w:usb3="00000000" w:csb0="00100000" w:csb1="00000000"/>
  </w:font>
  <w:font w:name="Calibri,Bold">
    <w:altName w:val="Calibri"/>
    <w:panose1 w:val="00000000000000000000"/>
    <w:charset w:val="00"/>
    <w:family w:val="swiss"/>
    <w:pitch w:val="default"/>
    <w:sig w:usb0="00000003" w:usb1="00000000" w:usb2="00000000" w:usb3="00000000" w:csb0="00000001"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40C000B"/>
    <w:lvl w:ilvl="0">
      <w:start w:val="1"/>
      <w:numFmt w:val="bullet"/>
      <w:lvlText w:val=""/>
      <w:lvlJc w:val="left"/>
      <w:pPr>
        <w:ind w:left="360" w:hanging="360"/>
      </w:pPr>
      <w:rPr>
        <w:rFonts w:ascii="Wingdings" w:hAnsi="Wingdings" w:hint="default"/>
        <w:sz w:val="16"/>
      </w:rPr>
    </w:lvl>
  </w:abstractNum>
  <w:abstractNum w:abstractNumId="1">
    <w:nsid w:val="00000001"/>
    <w:multiLevelType w:val="singleLevel"/>
    <w:tmpl w:val="040C000B"/>
    <w:lvl w:ilvl="0">
      <w:start w:val="1"/>
      <w:numFmt w:val="bullet"/>
      <w:lvlText w:val=""/>
      <w:lvlJc w:val="left"/>
      <w:pPr>
        <w:ind w:left="360" w:hanging="360"/>
      </w:pPr>
      <w:rPr>
        <w:rFonts w:ascii="Wingdings" w:hAnsi="Wingdings" w:hint="default"/>
        <w:sz w:val="16"/>
      </w:rPr>
    </w:lvl>
  </w:abstractNum>
  <w:abstractNum w:abstractNumId="2">
    <w:nsid w:val="00000002"/>
    <w:multiLevelType w:val="hybridMultilevel"/>
    <w:tmpl w:val="683C5988"/>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3">
    <w:nsid w:val="00000003"/>
    <w:multiLevelType w:val="hybridMultilevel"/>
    <w:tmpl w:val="F7A61FAE"/>
    <w:lvl w:ilvl="0" w:tplc="040C000B">
      <w:start w:val="1"/>
      <w:numFmt w:val="bullet"/>
      <w:lvlText w:val=""/>
      <w:lvlJc w:val="left"/>
      <w:pPr>
        <w:ind w:left="430" w:hanging="360"/>
      </w:pPr>
      <w:rPr>
        <w:rFonts w:ascii="Wingdings" w:hAnsi="Wingdings" w:hint="default"/>
      </w:rPr>
    </w:lvl>
    <w:lvl w:ilvl="1" w:tplc="040C0003" w:tentative="1">
      <w:start w:val="1"/>
      <w:numFmt w:val="bullet"/>
      <w:lvlText w:val="o"/>
      <w:lvlJc w:val="left"/>
      <w:pPr>
        <w:ind w:left="1150" w:hanging="360"/>
      </w:pPr>
      <w:rPr>
        <w:rFonts w:ascii="Courier New" w:cs="Courier New" w:hAnsi="Courier New" w:hint="default"/>
      </w:rPr>
    </w:lvl>
    <w:lvl w:ilvl="2" w:tplc="040C0005" w:tentative="1">
      <w:start w:val="1"/>
      <w:numFmt w:val="bullet"/>
      <w:lvlText w:val=""/>
      <w:lvlJc w:val="left"/>
      <w:pPr>
        <w:ind w:left="1870" w:hanging="360"/>
      </w:pPr>
      <w:rPr>
        <w:rFonts w:ascii="Wingdings" w:hAnsi="Wingdings" w:hint="default"/>
      </w:rPr>
    </w:lvl>
    <w:lvl w:ilvl="3" w:tplc="040C0001" w:tentative="1">
      <w:start w:val="1"/>
      <w:numFmt w:val="bullet"/>
      <w:lvlText w:val=""/>
      <w:lvlJc w:val="left"/>
      <w:pPr>
        <w:ind w:left="2590" w:hanging="360"/>
      </w:pPr>
      <w:rPr>
        <w:rFonts w:ascii="Symbol" w:hAnsi="Symbol" w:hint="default"/>
      </w:rPr>
    </w:lvl>
    <w:lvl w:ilvl="4" w:tplc="040C0003" w:tentative="1">
      <w:start w:val="1"/>
      <w:numFmt w:val="bullet"/>
      <w:lvlText w:val="o"/>
      <w:lvlJc w:val="left"/>
      <w:pPr>
        <w:ind w:left="3310" w:hanging="360"/>
      </w:pPr>
      <w:rPr>
        <w:rFonts w:ascii="Courier New" w:cs="Courier New" w:hAnsi="Courier New" w:hint="default"/>
      </w:rPr>
    </w:lvl>
    <w:lvl w:ilvl="5" w:tplc="040C0005" w:tentative="1">
      <w:start w:val="1"/>
      <w:numFmt w:val="bullet"/>
      <w:lvlText w:val=""/>
      <w:lvlJc w:val="left"/>
      <w:pPr>
        <w:ind w:left="4030" w:hanging="360"/>
      </w:pPr>
      <w:rPr>
        <w:rFonts w:ascii="Wingdings" w:hAnsi="Wingdings" w:hint="default"/>
      </w:rPr>
    </w:lvl>
    <w:lvl w:ilvl="6" w:tplc="040C0001" w:tentative="1">
      <w:start w:val="1"/>
      <w:numFmt w:val="bullet"/>
      <w:lvlText w:val=""/>
      <w:lvlJc w:val="left"/>
      <w:pPr>
        <w:ind w:left="4750" w:hanging="360"/>
      </w:pPr>
      <w:rPr>
        <w:rFonts w:ascii="Symbol" w:hAnsi="Symbol" w:hint="default"/>
      </w:rPr>
    </w:lvl>
    <w:lvl w:ilvl="7" w:tplc="040C0003" w:tentative="1">
      <w:start w:val="1"/>
      <w:numFmt w:val="bullet"/>
      <w:lvlText w:val="o"/>
      <w:lvlJc w:val="left"/>
      <w:pPr>
        <w:ind w:left="5470" w:hanging="360"/>
      </w:pPr>
      <w:rPr>
        <w:rFonts w:ascii="Courier New" w:cs="Courier New" w:hAnsi="Courier New" w:hint="default"/>
      </w:rPr>
    </w:lvl>
    <w:lvl w:ilvl="8" w:tplc="040C0005" w:tentative="1">
      <w:start w:val="1"/>
      <w:numFmt w:val="bullet"/>
      <w:lvlText w:val=""/>
      <w:lvlJc w:val="left"/>
      <w:pPr>
        <w:ind w:left="6190" w:hanging="360"/>
      </w:pPr>
      <w:rPr>
        <w:rFonts w:ascii="Wingdings" w:hAnsi="Wingdings" w:hint="default"/>
      </w:rPr>
    </w:lvl>
  </w:abstractNum>
  <w:abstractNum w:abstractNumId="4">
    <w:nsid w:val="00000004"/>
    <w:multiLevelType w:val="hybridMultilevel"/>
    <w:tmpl w:val="E9E8F102"/>
    <w:lvl w:ilvl="0" w:tplc="7938C2BA">
      <w:start w:val="1"/>
      <w:numFmt w:val="bullet"/>
      <w:lvlText w:val=""/>
      <w:lvlJc w:val="left"/>
      <w:pPr>
        <w:ind w:left="785" w:hanging="360"/>
      </w:pPr>
      <w:rPr>
        <w:rFonts w:ascii="Wingdings" w:hAnsi="Wingdings" w:hint="default"/>
        <w:b/>
      </w:rPr>
    </w:lvl>
    <w:lvl w:ilvl="1" w:tplc="040C0003" w:tentative="1">
      <w:start w:val="1"/>
      <w:numFmt w:val="bullet"/>
      <w:lvlText w:val="o"/>
      <w:lvlJc w:val="left"/>
      <w:pPr>
        <w:ind w:left="1505" w:hanging="360"/>
      </w:pPr>
      <w:rPr>
        <w:rFonts w:ascii="Courier New" w:cs="Courier New" w:hAnsi="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cs="Courier New" w:hAnsi="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cs="Courier New" w:hAnsi="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5">
    <w:nsid w:val="00000005"/>
    <w:multiLevelType w:val="hybridMultilevel"/>
    <w:tmpl w:val="6C8EF934"/>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cs="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cs="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cs="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6">
    <w:nsid w:val="00000006"/>
    <w:multiLevelType w:val="hybridMultilevel"/>
    <w:tmpl w:val="0F42C2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016839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21DEA1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5C56E0F4"/>
    <w:lvl w:ilvl="0" w:tplc="040C000B">
      <w:start w:val="1"/>
      <w:numFmt w:val="bullet"/>
      <w:lvlText w:val=""/>
      <w:lvlJc w:val="left"/>
      <w:pPr>
        <w:ind w:left="360" w:hanging="360"/>
      </w:pPr>
      <w:rPr>
        <w:rFonts w:ascii="Wingdings" w:hAnsi="Wingdings" w:hint="default"/>
        <w:b/>
      </w:rPr>
    </w:lvl>
    <w:lvl w:ilvl="1" w:tplc="040C0003" w:tentative="1">
      <w:start w:val="1"/>
      <w:numFmt w:val="bullet"/>
      <w:lvlText w:val="o"/>
      <w:lvlJc w:val="left"/>
      <w:pPr>
        <w:ind w:left="1190" w:hanging="360"/>
      </w:pPr>
      <w:rPr>
        <w:rFonts w:ascii="Courier New" w:cs="Courier New" w:hAnsi="Courier New" w:hint="default"/>
      </w:rPr>
    </w:lvl>
    <w:lvl w:ilvl="2" w:tplc="040C0005" w:tentative="1">
      <w:start w:val="1"/>
      <w:numFmt w:val="bullet"/>
      <w:lvlText w:val=""/>
      <w:lvlJc w:val="left"/>
      <w:pPr>
        <w:ind w:left="1910" w:hanging="360"/>
      </w:pPr>
      <w:rPr>
        <w:rFonts w:ascii="Wingdings" w:hAnsi="Wingdings" w:hint="default"/>
      </w:rPr>
    </w:lvl>
    <w:lvl w:ilvl="3" w:tplc="040C0001" w:tentative="1">
      <w:start w:val="1"/>
      <w:numFmt w:val="bullet"/>
      <w:lvlText w:val=""/>
      <w:lvlJc w:val="left"/>
      <w:pPr>
        <w:ind w:left="2630" w:hanging="360"/>
      </w:pPr>
      <w:rPr>
        <w:rFonts w:ascii="Symbol" w:hAnsi="Symbol" w:hint="default"/>
      </w:rPr>
    </w:lvl>
    <w:lvl w:ilvl="4" w:tplc="040C0003" w:tentative="1">
      <w:start w:val="1"/>
      <w:numFmt w:val="bullet"/>
      <w:lvlText w:val="o"/>
      <w:lvlJc w:val="left"/>
      <w:pPr>
        <w:ind w:left="3350" w:hanging="360"/>
      </w:pPr>
      <w:rPr>
        <w:rFonts w:ascii="Courier New" w:cs="Courier New" w:hAnsi="Courier New" w:hint="default"/>
      </w:rPr>
    </w:lvl>
    <w:lvl w:ilvl="5" w:tplc="040C0005" w:tentative="1">
      <w:start w:val="1"/>
      <w:numFmt w:val="bullet"/>
      <w:lvlText w:val=""/>
      <w:lvlJc w:val="left"/>
      <w:pPr>
        <w:ind w:left="4070" w:hanging="360"/>
      </w:pPr>
      <w:rPr>
        <w:rFonts w:ascii="Wingdings" w:hAnsi="Wingdings" w:hint="default"/>
      </w:rPr>
    </w:lvl>
    <w:lvl w:ilvl="6" w:tplc="040C0001" w:tentative="1">
      <w:start w:val="1"/>
      <w:numFmt w:val="bullet"/>
      <w:lvlText w:val=""/>
      <w:lvlJc w:val="left"/>
      <w:pPr>
        <w:ind w:left="4790" w:hanging="360"/>
      </w:pPr>
      <w:rPr>
        <w:rFonts w:ascii="Symbol" w:hAnsi="Symbol" w:hint="default"/>
      </w:rPr>
    </w:lvl>
    <w:lvl w:ilvl="7" w:tplc="040C0003" w:tentative="1">
      <w:start w:val="1"/>
      <w:numFmt w:val="bullet"/>
      <w:lvlText w:val="o"/>
      <w:lvlJc w:val="left"/>
      <w:pPr>
        <w:ind w:left="5510" w:hanging="360"/>
      </w:pPr>
      <w:rPr>
        <w:rFonts w:ascii="Courier New" w:cs="Courier New" w:hAnsi="Courier New" w:hint="default"/>
      </w:rPr>
    </w:lvl>
    <w:lvl w:ilvl="8" w:tplc="040C0005" w:tentative="1">
      <w:start w:val="1"/>
      <w:numFmt w:val="bullet"/>
      <w:lvlText w:val=""/>
      <w:lvlJc w:val="left"/>
      <w:pPr>
        <w:ind w:left="6230" w:hanging="360"/>
      </w:pPr>
      <w:rPr>
        <w:rFonts w:ascii="Wingdings" w:hAnsi="Wingdings" w:hint="default"/>
      </w:rPr>
    </w:lvl>
  </w:abstractNum>
  <w:abstractNum w:abstractNumId="10">
    <w:nsid w:val="0000000A"/>
    <w:multiLevelType w:val="hybridMultilevel"/>
    <w:tmpl w:val="0E8A479C"/>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cs="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cs="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cs="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1">
    <w:nsid w:val="0000000B"/>
    <w:multiLevelType w:val="hybridMultilevel"/>
    <w:tmpl w:val="3E083FCC"/>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12">
    <w:nsid w:val="0000000C"/>
    <w:multiLevelType w:val="hybridMultilevel"/>
    <w:tmpl w:val="71EAB19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cs="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cs="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cs="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nsid w:val="0000000D"/>
    <w:multiLevelType w:val="hybridMultilevel"/>
    <w:tmpl w:val="F90E1DD6"/>
    <w:lvl w:ilvl="0" w:tplc="040C000B">
      <w:start w:val="1"/>
      <w:numFmt w:val="bullet"/>
      <w:lvlText w:val=""/>
      <w:lvlJc w:val="left"/>
      <w:pPr>
        <w:tabs>
          <w:tab w:val="left" w:leader="none" w:pos="360"/>
        </w:tabs>
        <w:ind w:left="360" w:hanging="360"/>
      </w:pPr>
      <w:rPr>
        <w:rFonts w:ascii="Wingdings" w:hAnsi="Wingdings" w:hint="default"/>
        <w:sz w:val="16"/>
      </w:rPr>
    </w:lvl>
    <w:lvl w:ilvl="1" w:tplc="340C0003" w:tentative="1">
      <w:start w:val="1"/>
      <w:numFmt w:val="bullet"/>
      <w:lvlText w:val="o"/>
      <w:lvlJc w:val="left"/>
      <w:pPr>
        <w:ind w:left="1440" w:hanging="360"/>
      </w:pPr>
      <w:rPr>
        <w:rFonts w:ascii="Courier New" w:cs="Courier New" w:hAnsi="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cs="Courier New" w:hAnsi="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cs="Courier New" w:hAnsi="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2BFA5F0A"/>
    <w:lvl w:ilvl="0" w:tplc="040C0001">
      <w:start w:val="1"/>
      <w:numFmt w:val="bullet"/>
      <w:lvlText w:val=""/>
      <w:lvlJc w:val="left"/>
      <w:pPr>
        <w:ind w:left="1363" w:hanging="360"/>
      </w:pPr>
      <w:rPr>
        <w:rFonts w:ascii="Symbol" w:hAnsi="Symbol" w:hint="default"/>
      </w:rPr>
    </w:lvl>
    <w:lvl w:ilvl="1" w:tplc="040C0003" w:tentative="1">
      <w:start w:val="1"/>
      <w:numFmt w:val="bullet"/>
      <w:lvlText w:val="o"/>
      <w:lvlJc w:val="left"/>
      <w:pPr>
        <w:ind w:left="2083" w:hanging="360"/>
      </w:pPr>
      <w:rPr>
        <w:rFonts w:ascii="Courier New" w:cs="Courier New" w:hAnsi="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cs="Courier New" w:hAnsi="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cs="Courier New" w:hAnsi="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15">
    <w:nsid w:val="0000000F"/>
    <w:multiLevelType w:val="hybridMultilevel"/>
    <w:tmpl w:val="0BD0A5A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cs="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cs="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cs="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nsid w:val="00000010"/>
    <w:multiLevelType w:val="hybridMultilevel"/>
    <w:tmpl w:val="8702BCB0"/>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450C33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0000012"/>
    <w:multiLevelType w:val="hybridMultilevel"/>
    <w:tmpl w:val="172A066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cs="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cs="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cs="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00000013"/>
    <w:multiLevelType w:val="hybridMultilevel"/>
    <w:tmpl w:val="DCBA64B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cs="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cs="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cs="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00000014"/>
    <w:multiLevelType w:val="hybridMultilevel"/>
    <w:tmpl w:val="ECEA768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cs="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cs="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cs="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nsid w:val="00000015"/>
    <w:multiLevelType w:val="hybridMultilevel"/>
    <w:tmpl w:val="F93C2284"/>
    <w:lvl w:ilvl="0" w:tplc="040C000B">
      <w:start w:val="1"/>
      <w:numFmt w:val="bullet"/>
      <w:lvlText w:val=""/>
      <w:lvlJc w:val="left"/>
      <w:pPr>
        <w:ind w:left="403" w:hanging="360"/>
      </w:pPr>
      <w:rPr>
        <w:rFonts w:ascii="Wingdings" w:hAnsi="Wingdings" w:hint="default"/>
      </w:rPr>
    </w:lvl>
    <w:lvl w:ilvl="1" w:tplc="040C0003" w:tentative="1">
      <w:start w:val="1"/>
      <w:numFmt w:val="bullet"/>
      <w:lvlText w:val="o"/>
      <w:lvlJc w:val="left"/>
      <w:pPr>
        <w:ind w:left="1123" w:hanging="360"/>
      </w:pPr>
      <w:rPr>
        <w:rFonts w:ascii="Courier New" w:cs="Courier New" w:hAnsi="Courier New" w:hint="default"/>
      </w:rPr>
    </w:lvl>
    <w:lvl w:ilvl="2" w:tplc="040C0005" w:tentative="1">
      <w:start w:val="1"/>
      <w:numFmt w:val="bullet"/>
      <w:lvlText w:val=""/>
      <w:lvlJc w:val="left"/>
      <w:pPr>
        <w:ind w:left="1843" w:hanging="360"/>
      </w:pPr>
      <w:rPr>
        <w:rFonts w:ascii="Wingdings" w:hAnsi="Wingdings" w:hint="default"/>
      </w:rPr>
    </w:lvl>
    <w:lvl w:ilvl="3" w:tplc="040C0001" w:tentative="1">
      <w:start w:val="1"/>
      <w:numFmt w:val="bullet"/>
      <w:lvlText w:val=""/>
      <w:lvlJc w:val="left"/>
      <w:pPr>
        <w:ind w:left="2563" w:hanging="360"/>
      </w:pPr>
      <w:rPr>
        <w:rFonts w:ascii="Symbol" w:hAnsi="Symbol" w:hint="default"/>
      </w:rPr>
    </w:lvl>
    <w:lvl w:ilvl="4" w:tplc="040C0003" w:tentative="1">
      <w:start w:val="1"/>
      <w:numFmt w:val="bullet"/>
      <w:lvlText w:val="o"/>
      <w:lvlJc w:val="left"/>
      <w:pPr>
        <w:ind w:left="3283" w:hanging="360"/>
      </w:pPr>
      <w:rPr>
        <w:rFonts w:ascii="Courier New" w:cs="Courier New" w:hAnsi="Courier New" w:hint="default"/>
      </w:rPr>
    </w:lvl>
    <w:lvl w:ilvl="5" w:tplc="040C0005" w:tentative="1">
      <w:start w:val="1"/>
      <w:numFmt w:val="bullet"/>
      <w:lvlText w:val=""/>
      <w:lvlJc w:val="left"/>
      <w:pPr>
        <w:ind w:left="4003" w:hanging="360"/>
      </w:pPr>
      <w:rPr>
        <w:rFonts w:ascii="Wingdings" w:hAnsi="Wingdings" w:hint="default"/>
      </w:rPr>
    </w:lvl>
    <w:lvl w:ilvl="6" w:tplc="040C0001" w:tentative="1">
      <w:start w:val="1"/>
      <w:numFmt w:val="bullet"/>
      <w:lvlText w:val=""/>
      <w:lvlJc w:val="left"/>
      <w:pPr>
        <w:ind w:left="4723" w:hanging="360"/>
      </w:pPr>
      <w:rPr>
        <w:rFonts w:ascii="Symbol" w:hAnsi="Symbol" w:hint="default"/>
      </w:rPr>
    </w:lvl>
    <w:lvl w:ilvl="7" w:tplc="040C0003" w:tentative="1">
      <w:start w:val="1"/>
      <w:numFmt w:val="bullet"/>
      <w:lvlText w:val="o"/>
      <w:lvlJc w:val="left"/>
      <w:pPr>
        <w:ind w:left="5443" w:hanging="360"/>
      </w:pPr>
      <w:rPr>
        <w:rFonts w:ascii="Courier New" w:cs="Courier New" w:hAnsi="Courier New" w:hint="default"/>
      </w:rPr>
    </w:lvl>
    <w:lvl w:ilvl="8" w:tplc="040C0005" w:tentative="1">
      <w:start w:val="1"/>
      <w:numFmt w:val="bullet"/>
      <w:lvlText w:val=""/>
      <w:lvlJc w:val="left"/>
      <w:pPr>
        <w:ind w:left="6163" w:hanging="360"/>
      </w:pPr>
      <w:rPr>
        <w:rFonts w:ascii="Wingdings" w:hAnsi="Wingdings" w:hint="default"/>
      </w:rPr>
    </w:lvl>
  </w:abstractNum>
  <w:abstractNum w:abstractNumId="22">
    <w:nsid w:val="00000016"/>
    <w:multiLevelType w:val="hybridMultilevel"/>
    <w:tmpl w:val="BBE6DF6C"/>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CC94CF1C"/>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24">
    <w:nsid w:val="00000018"/>
    <w:multiLevelType w:val="hybridMultilevel"/>
    <w:tmpl w:val="BE147BBE"/>
    <w:lvl w:ilvl="0" w:tplc="9CD05A78">
      <w:start w:val="1"/>
      <w:numFmt w:val="bullet"/>
      <w:lvlText w:val=""/>
      <w:lvlJc w:val="left"/>
      <w:pPr>
        <w:ind w:left="360" w:hanging="360"/>
      </w:pPr>
      <w:rPr>
        <w:rFonts w:ascii="Wingdings" w:hAnsi="Wingdings" w:hint="default"/>
        <w:b/>
      </w:rPr>
    </w:lvl>
    <w:lvl w:ilvl="1" w:tplc="040C0003" w:tentative="1">
      <w:start w:val="1"/>
      <w:numFmt w:val="bullet"/>
      <w:lvlText w:val="o"/>
      <w:lvlJc w:val="left"/>
      <w:pPr>
        <w:ind w:left="1080" w:hanging="360"/>
      </w:pPr>
      <w:rPr>
        <w:rFonts w:ascii="Courier New" w:cs="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cs="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cs="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00000019"/>
    <w:multiLevelType w:val="hybridMultilevel"/>
    <w:tmpl w:val="12F83532"/>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26">
    <w:nsid w:val="0000001A"/>
    <w:multiLevelType w:val="hybridMultilevel"/>
    <w:tmpl w:val="5E58D030"/>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27">
    <w:nsid w:val="0000001B"/>
    <w:multiLevelType w:val="hybridMultilevel"/>
    <w:tmpl w:val="71506450"/>
    <w:lvl w:ilvl="0" w:tplc="040C000B">
      <w:start w:val="1"/>
      <w:numFmt w:val="bullet"/>
      <w:lvlText w:val=""/>
      <w:lvlJc w:val="left"/>
      <w:pPr>
        <w:ind w:left="393" w:hanging="360"/>
      </w:pPr>
      <w:rPr>
        <w:rFonts w:ascii="Wingdings" w:hAnsi="Wingdings" w:hint="default"/>
      </w:rPr>
    </w:lvl>
    <w:lvl w:ilvl="1" w:tplc="040C0003" w:tentative="1">
      <w:start w:val="1"/>
      <w:numFmt w:val="bullet"/>
      <w:lvlText w:val="o"/>
      <w:lvlJc w:val="left"/>
      <w:pPr>
        <w:ind w:left="1113" w:hanging="360"/>
      </w:pPr>
      <w:rPr>
        <w:rFonts w:ascii="Courier New" w:cs="Courier New" w:hAnsi="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cs="Courier New" w:hAnsi="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cs="Courier New" w:hAnsi="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28">
    <w:nsid w:val="0000001C"/>
    <w:multiLevelType w:val="hybridMultilevel"/>
    <w:tmpl w:val="92A2DE20"/>
    <w:lvl w:ilvl="0" w:tplc="0E540AD2">
      <w:start w:val="1"/>
      <w:numFmt w:val="bullet"/>
      <w:lvlText w:val="•"/>
      <w:lvlJc w:val="left"/>
      <w:pPr>
        <w:tabs>
          <w:tab w:val="left" w:leader="none" w:pos="720"/>
        </w:tabs>
        <w:ind w:left="720" w:hanging="360"/>
      </w:pPr>
      <w:rPr>
        <w:rFonts w:ascii="Arial" w:hAnsi="Arial" w:hint="default"/>
      </w:rPr>
    </w:lvl>
    <w:lvl w:ilvl="1" w:tplc="60AC1804" w:tentative="1">
      <w:start w:val="1"/>
      <w:numFmt w:val="bullet"/>
      <w:lvlText w:val="•"/>
      <w:lvlJc w:val="left"/>
      <w:pPr>
        <w:tabs>
          <w:tab w:val="left" w:leader="none" w:pos="1440"/>
        </w:tabs>
        <w:ind w:left="1440" w:hanging="360"/>
      </w:pPr>
      <w:rPr>
        <w:rFonts w:ascii="Arial" w:hAnsi="Arial" w:hint="default"/>
      </w:rPr>
    </w:lvl>
    <w:lvl w:ilvl="2" w:tplc="A84879D0" w:tentative="1">
      <w:start w:val="1"/>
      <w:numFmt w:val="bullet"/>
      <w:lvlText w:val="•"/>
      <w:lvlJc w:val="left"/>
      <w:pPr>
        <w:tabs>
          <w:tab w:val="left" w:leader="none" w:pos="2160"/>
        </w:tabs>
        <w:ind w:left="2160" w:hanging="360"/>
      </w:pPr>
      <w:rPr>
        <w:rFonts w:ascii="Arial" w:hAnsi="Arial" w:hint="default"/>
      </w:rPr>
    </w:lvl>
    <w:lvl w:ilvl="3" w:tplc="8F5AF22C" w:tentative="1">
      <w:start w:val="1"/>
      <w:numFmt w:val="bullet"/>
      <w:lvlText w:val="•"/>
      <w:lvlJc w:val="left"/>
      <w:pPr>
        <w:tabs>
          <w:tab w:val="left" w:leader="none" w:pos="2880"/>
        </w:tabs>
        <w:ind w:left="2880" w:hanging="360"/>
      </w:pPr>
      <w:rPr>
        <w:rFonts w:ascii="Arial" w:hAnsi="Arial" w:hint="default"/>
      </w:rPr>
    </w:lvl>
    <w:lvl w:ilvl="4" w:tplc="3A52E67E" w:tentative="1">
      <w:start w:val="1"/>
      <w:numFmt w:val="bullet"/>
      <w:lvlText w:val="•"/>
      <w:lvlJc w:val="left"/>
      <w:pPr>
        <w:tabs>
          <w:tab w:val="left" w:leader="none" w:pos="3600"/>
        </w:tabs>
        <w:ind w:left="3600" w:hanging="360"/>
      </w:pPr>
      <w:rPr>
        <w:rFonts w:ascii="Arial" w:hAnsi="Arial" w:hint="default"/>
      </w:rPr>
    </w:lvl>
    <w:lvl w:ilvl="5" w:tplc="2B92CD4E" w:tentative="1">
      <w:start w:val="1"/>
      <w:numFmt w:val="bullet"/>
      <w:lvlText w:val="•"/>
      <w:lvlJc w:val="left"/>
      <w:pPr>
        <w:tabs>
          <w:tab w:val="left" w:leader="none" w:pos="4320"/>
        </w:tabs>
        <w:ind w:left="4320" w:hanging="360"/>
      </w:pPr>
      <w:rPr>
        <w:rFonts w:ascii="Arial" w:hAnsi="Arial" w:hint="default"/>
      </w:rPr>
    </w:lvl>
    <w:lvl w:ilvl="6" w:tplc="C00E516A" w:tentative="1">
      <w:start w:val="1"/>
      <w:numFmt w:val="bullet"/>
      <w:lvlText w:val="•"/>
      <w:lvlJc w:val="left"/>
      <w:pPr>
        <w:tabs>
          <w:tab w:val="left" w:leader="none" w:pos="5040"/>
        </w:tabs>
        <w:ind w:left="5040" w:hanging="360"/>
      </w:pPr>
      <w:rPr>
        <w:rFonts w:ascii="Arial" w:hAnsi="Arial" w:hint="default"/>
      </w:rPr>
    </w:lvl>
    <w:lvl w:ilvl="7" w:tplc="A18638C0" w:tentative="1">
      <w:start w:val="1"/>
      <w:numFmt w:val="bullet"/>
      <w:lvlText w:val="•"/>
      <w:lvlJc w:val="left"/>
      <w:pPr>
        <w:tabs>
          <w:tab w:val="left" w:leader="none" w:pos="5760"/>
        </w:tabs>
        <w:ind w:left="5760" w:hanging="360"/>
      </w:pPr>
      <w:rPr>
        <w:rFonts w:ascii="Arial" w:hAnsi="Arial" w:hint="default"/>
      </w:rPr>
    </w:lvl>
    <w:lvl w:ilvl="8" w:tplc="778A8BFE" w:tentative="1">
      <w:start w:val="1"/>
      <w:numFmt w:val="bullet"/>
      <w:lvlText w:val="•"/>
      <w:lvlJc w:val="left"/>
      <w:pPr>
        <w:tabs>
          <w:tab w:val="left" w:leader="none" w:pos="6480"/>
        </w:tabs>
        <w:ind w:left="6480" w:hanging="360"/>
      </w:pPr>
      <w:rPr>
        <w:rFonts w:ascii="Arial" w:hAnsi="Arial" w:hint="default"/>
      </w:rPr>
    </w:lvl>
  </w:abstractNum>
  <w:abstractNum w:abstractNumId="29">
    <w:nsid w:val="0000001D"/>
    <w:multiLevelType w:val="hybridMultilevel"/>
    <w:tmpl w:val="FE3A80F8"/>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cs="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cs="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cs="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0">
    <w:nsid w:val="0000001E"/>
    <w:multiLevelType w:val="hybridMultilevel"/>
    <w:tmpl w:val="B35433F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cs="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cs="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cs="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nsid w:val="0000001F"/>
    <w:multiLevelType w:val="hybridMultilevel"/>
    <w:tmpl w:val="021E935E"/>
    <w:lvl w:ilvl="0" w:tplc="040C0001">
      <w:start w:val="1"/>
      <w:numFmt w:val="bullet"/>
      <w:lvlText w:val=""/>
      <w:lvlJc w:val="left"/>
      <w:pPr>
        <w:ind w:left="1363" w:hanging="360"/>
      </w:pPr>
      <w:rPr>
        <w:rFonts w:ascii="Symbol" w:hAnsi="Symbol" w:hint="default"/>
      </w:rPr>
    </w:lvl>
    <w:lvl w:ilvl="1" w:tplc="040C0003" w:tentative="1">
      <w:start w:val="1"/>
      <w:numFmt w:val="bullet"/>
      <w:lvlText w:val="o"/>
      <w:lvlJc w:val="left"/>
      <w:pPr>
        <w:ind w:left="2083" w:hanging="360"/>
      </w:pPr>
      <w:rPr>
        <w:rFonts w:ascii="Courier New" w:cs="Courier New" w:hAnsi="Courier New" w:hint="default"/>
      </w:rPr>
    </w:lvl>
    <w:lvl w:ilvl="2" w:tplc="040C0005" w:tentative="1">
      <w:start w:val="1"/>
      <w:numFmt w:val="bullet"/>
      <w:lvlText w:val=""/>
      <w:lvlJc w:val="left"/>
      <w:pPr>
        <w:ind w:left="2803" w:hanging="360"/>
      </w:pPr>
      <w:rPr>
        <w:rFonts w:ascii="Wingdings" w:hAnsi="Wingdings" w:hint="default"/>
      </w:rPr>
    </w:lvl>
    <w:lvl w:ilvl="3" w:tplc="040C0001" w:tentative="1">
      <w:start w:val="1"/>
      <w:numFmt w:val="bullet"/>
      <w:lvlText w:val=""/>
      <w:lvlJc w:val="left"/>
      <w:pPr>
        <w:ind w:left="3523" w:hanging="360"/>
      </w:pPr>
      <w:rPr>
        <w:rFonts w:ascii="Symbol" w:hAnsi="Symbol" w:hint="default"/>
      </w:rPr>
    </w:lvl>
    <w:lvl w:ilvl="4" w:tplc="040C0003" w:tentative="1">
      <w:start w:val="1"/>
      <w:numFmt w:val="bullet"/>
      <w:lvlText w:val="o"/>
      <w:lvlJc w:val="left"/>
      <w:pPr>
        <w:ind w:left="4243" w:hanging="360"/>
      </w:pPr>
      <w:rPr>
        <w:rFonts w:ascii="Courier New" w:cs="Courier New" w:hAnsi="Courier New" w:hint="default"/>
      </w:rPr>
    </w:lvl>
    <w:lvl w:ilvl="5" w:tplc="040C0005" w:tentative="1">
      <w:start w:val="1"/>
      <w:numFmt w:val="bullet"/>
      <w:lvlText w:val=""/>
      <w:lvlJc w:val="left"/>
      <w:pPr>
        <w:ind w:left="4963" w:hanging="360"/>
      </w:pPr>
      <w:rPr>
        <w:rFonts w:ascii="Wingdings" w:hAnsi="Wingdings" w:hint="default"/>
      </w:rPr>
    </w:lvl>
    <w:lvl w:ilvl="6" w:tplc="040C0001" w:tentative="1">
      <w:start w:val="1"/>
      <w:numFmt w:val="bullet"/>
      <w:lvlText w:val=""/>
      <w:lvlJc w:val="left"/>
      <w:pPr>
        <w:ind w:left="5683" w:hanging="360"/>
      </w:pPr>
      <w:rPr>
        <w:rFonts w:ascii="Symbol" w:hAnsi="Symbol" w:hint="default"/>
      </w:rPr>
    </w:lvl>
    <w:lvl w:ilvl="7" w:tplc="040C0003" w:tentative="1">
      <w:start w:val="1"/>
      <w:numFmt w:val="bullet"/>
      <w:lvlText w:val="o"/>
      <w:lvlJc w:val="left"/>
      <w:pPr>
        <w:ind w:left="6403" w:hanging="360"/>
      </w:pPr>
      <w:rPr>
        <w:rFonts w:ascii="Courier New" w:cs="Courier New" w:hAnsi="Courier New" w:hint="default"/>
      </w:rPr>
    </w:lvl>
    <w:lvl w:ilvl="8" w:tplc="040C0005" w:tentative="1">
      <w:start w:val="1"/>
      <w:numFmt w:val="bullet"/>
      <w:lvlText w:val=""/>
      <w:lvlJc w:val="left"/>
      <w:pPr>
        <w:ind w:left="7123" w:hanging="360"/>
      </w:pPr>
      <w:rPr>
        <w:rFonts w:ascii="Wingdings" w:hAnsi="Wingdings" w:hint="default"/>
      </w:rPr>
    </w:lvl>
  </w:abstractNum>
  <w:abstractNum w:abstractNumId="32">
    <w:nsid w:val="00000020"/>
    <w:multiLevelType w:val="hybridMultilevel"/>
    <w:tmpl w:val="93B2B956"/>
    <w:lvl w:ilvl="0" w:tplc="7BA2715C">
      <w:start w:val="1"/>
      <w:numFmt w:val="bullet"/>
      <w:lvlText w:val=""/>
      <w:lvlJc w:val="left"/>
      <w:pPr>
        <w:ind w:left="502" w:hanging="360"/>
      </w:pPr>
      <w:rPr>
        <w:rFonts w:ascii="Wingdings" w:hAnsi="Wingdings" w:hint="default"/>
        <w:b/>
      </w:rPr>
    </w:lvl>
    <w:lvl w:ilvl="1" w:tplc="040C0003" w:tentative="1">
      <w:start w:val="1"/>
      <w:numFmt w:val="bullet"/>
      <w:lvlText w:val="o"/>
      <w:lvlJc w:val="left"/>
      <w:pPr>
        <w:ind w:left="1222" w:hanging="360"/>
      </w:pPr>
      <w:rPr>
        <w:rFonts w:ascii="Courier New" w:cs="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cs="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cs="Courier New" w:hAnsi="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3">
    <w:nsid w:val="00000021"/>
    <w:multiLevelType w:val="hybridMultilevel"/>
    <w:tmpl w:val="A8AA1A34"/>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cs="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cs="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cs="Courier New" w:hAnsi="Courier New" w:hint="default"/>
      </w:rPr>
    </w:lvl>
    <w:lvl w:ilvl="8" w:tplc="040C0005" w:tentative="1">
      <w:start w:val="1"/>
      <w:numFmt w:val="bullet"/>
      <w:lvlText w:val=""/>
      <w:lvlJc w:val="left"/>
      <w:pPr>
        <w:ind w:left="6262" w:hanging="360"/>
      </w:pPr>
      <w:rPr>
        <w:rFonts w:ascii="Wingdings" w:hAnsi="Wingdings" w:hint="default"/>
      </w:rPr>
    </w:lvl>
  </w:abstractNum>
  <w:num w:numId="1">
    <w:abstractNumId w:val="7"/>
  </w:num>
  <w:num w:numId="2">
    <w:abstractNumId w:val="18"/>
  </w:num>
  <w:num w:numId="3">
    <w:abstractNumId w:val="4"/>
  </w:num>
  <w:num w:numId="4">
    <w:abstractNumId w:val="8"/>
  </w:num>
  <w:num w:numId="5">
    <w:abstractNumId w:val="6"/>
  </w:num>
  <w:num w:numId="6">
    <w:abstractNumId w:val="23"/>
  </w:num>
  <w:num w:numId="7">
    <w:abstractNumId w:val="9"/>
  </w:num>
  <w:num w:numId="8">
    <w:abstractNumId w:val="15"/>
  </w:num>
  <w:num w:numId="9">
    <w:abstractNumId w:val="2"/>
  </w:num>
  <w:num w:numId="10">
    <w:abstractNumId w:val="30"/>
  </w:num>
  <w:num w:numId="11">
    <w:abstractNumId w:val="16"/>
  </w:num>
  <w:num w:numId="12">
    <w:abstractNumId w:val="12"/>
  </w:num>
  <w:num w:numId="13">
    <w:abstractNumId w:val="22"/>
  </w:num>
  <w:num w:numId="14">
    <w:abstractNumId w:val="27"/>
  </w:num>
  <w:num w:numId="15">
    <w:abstractNumId w:val="24"/>
  </w:num>
  <w:num w:numId="16">
    <w:abstractNumId w:val="19"/>
  </w:num>
  <w:num w:numId="17">
    <w:abstractNumId w:val="25"/>
  </w:num>
  <w:num w:numId="18">
    <w:abstractNumId w:val="20"/>
  </w:num>
  <w:num w:numId="19">
    <w:abstractNumId w:val="17"/>
  </w:num>
  <w:num w:numId="20">
    <w:abstractNumId w:val="26"/>
  </w:num>
  <w:num w:numId="21">
    <w:abstractNumId w:val="3"/>
  </w:num>
  <w:num w:numId="22">
    <w:abstractNumId w:val="14"/>
  </w:num>
  <w:num w:numId="23">
    <w:abstractNumId w:val="33"/>
  </w:num>
  <w:num w:numId="24">
    <w:abstractNumId w:val="28"/>
  </w:num>
  <w:num w:numId="25">
    <w:abstractNumId w:val="10"/>
  </w:num>
  <w:num w:numId="26">
    <w:abstractNumId w:val="31"/>
  </w:num>
  <w:num w:numId="27">
    <w:abstractNumId w:val="29"/>
  </w:num>
  <w:num w:numId="28">
    <w:abstractNumId w:val="5"/>
  </w:num>
  <w:num w:numId="29">
    <w:abstractNumId w:val="21"/>
  </w:num>
  <w:num w:numId="30">
    <w:abstractNumId w:val="11"/>
  </w:num>
  <w:num w:numId="31">
    <w:abstractNumId w:val="32"/>
  </w:num>
  <w:num w:numId="32">
    <w:abstractNumId w:val="0"/>
  </w:num>
  <w:num w:numId="33">
    <w:abstractNumId w:val="1"/>
  </w:num>
  <w:num w:numId="34">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
  <m:mathPr>
    <m:mathFont m:val="Cambria Math"/>
    <m:brkBin m:val="before"/>
    <m:brkBinSub m:val="--"/>
    <m:smallFrac m:val="1"/>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fr-F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style>
  <w:style w:type="table" w:customStyle="1" w:styleId="style4097">
    <w:name w:val="Grille du tableau1"/>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098">
    <w:name w:val="Grille du tableau2"/>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Texte de bulles Car"/>
    <w:basedOn w:val="style65"/>
    <w:next w:val="style4099"/>
    <w:link w:val="style153"/>
    <w:uiPriority w:val="99"/>
    <w:rPr>
      <w:rFonts w:ascii="Tahoma" w:cs="Tahoma" w:hAnsi="Tahoma"/>
      <w:sz w:val="16"/>
      <w:szCs w:val="16"/>
    </w:rPr>
  </w:style>
  <w:style w:type="paragraph" w:customStyle="1" w:styleId="style4100">
    <w:name w:val="Corps de texte 31"/>
    <w:basedOn w:val="style0"/>
    <w:next w:val="style4100"/>
    <w:pPr>
      <w:widowControl w:val="false"/>
      <w:suppressAutoHyphens/>
      <w:spacing w:after="0" w:lineRule="auto" w:line="240"/>
    </w:pPr>
    <w:rPr>
      <w:rFonts w:ascii="Times New Roman" w:cs="Times New Roman" w:eastAsia="Arial Unicode MS" w:hAnsi="Times New Roman"/>
      <w:kern w:val="1"/>
      <w:sz w:val="24"/>
      <w:szCs w:val="20"/>
      <w:lang w:eastAsia="zh-CN"/>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2762</Words>
  <Pages>10</Pages>
  <Characters>15873</Characters>
  <Application>WPS Office</Application>
  <DocSecurity>0</DocSecurity>
  <Paragraphs>464</Paragraphs>
  <ScaleCrop>false</ScaleCrop>
  <Company>Toshiba</Company>
  <LinksUpToDate>false</LinksUpToDate>
  <CharactersWithSpaces>21079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2022-12-28T14:17:08Z</dcterms:created>
  <dc:creator>TOSHIBA</dc:creator>
  <lastModifiedBy>SM-A135F</lastModifiedBy>
  <lastPrinted>2021-02-25T13:35:00Z</lastPrinted>
  <dcterms:modified xsi:type="dcterms:W3CDTF">2022-12-28T14:17:08Z</dcterms:modified>
  <revision>39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9405fb5586e64e4a8114ab3650f95249</vt:lpwstr>
  </property>
</Properties>
</file>