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tbl>
      <w:tblPr>
        <w:tblW w:w="5270" w:type="pct"/>
        <w:tblCellSpacing w:w="0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5"/>
        <w:gridCol w:w="8031"/>
      </w:tblGrid>
      <w:tr>
        <w:trPr>
          <w:trHeight w:val="3765" w:hRule="atLeast"/>
          <w:tblCellSpacing w:w="0" w:type="dxa"/>
        </w:trPr>
        <w:tc>
          <w:tcPr>
            <w:tcW w:w="1368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  <w:tcFitText w:val="false"/>
            <w:hideMark/>
          </w:tcPr>
          <w:p>
            <w:pPr>
              <w:pStyle w:val="style0"/>
              <w:spacing w:after="0" w:lineRule="auto" w:line="240"/>
              <w:ind w:right="85"/>
              <w:jc w:val="right"/>
              <w:rPr>
                <w:rFonts w:ascii="Arial" w:cs="Arial" w:eastAsia="Times New Roman" w:hAnsi="Arial"/>
                <w:color w:val="0f243e"/>
                <w:lang w:eastAsia="fr-FR"/>
              </w:rPr>
            </w:pPr>
            <w:r>
              <w:rPr>
                <w:rFonts w:ascii="Arial" w:cs="Arial" w:eastAsia="Times New Roman" w:hAnsi="Arial"/>
                <w:b/>
                <w:bCs/>
                <w:color w:val="0f243e"/>
                <w:szCs w:val="24"/>
                <w:lang w:eastAsia="fr-FR"/>
              </w:rPr>
              <w:t xml:space="preserve">Yaya MANGARA  </w:t>
            </w:r>
            <w:r>
              <w:rPr>
                <w:rFonts w:ascii="Arial" w:cs="Arial" w:eastAsia="Times New Roman" w:hAnsi="Arial"/>
                <w:b/>
                <w:bCs/>
                <w:color w:val="0f243e"/>
                <w:sz w:val="24"/>
                <w:szCs w:val="24"/>
                <w:lang w:eastAsia="fr-FR"/>
              </w:rPr>
              <w:br/>
            </w:r>
            <w:r>
              <w:rPr>
                <w:rFonts w:ascii="Arial" w:cs="Arial" w:eastAsia="Times New Roman" w:hAnsi="Arial"/>
                <w:b/>
                <w:bCs/>
                <w:color w:val="0f243e"/>
                <w:sz w:val="24"/>
                <w:szCs w:val="24"/>
                <w:lang w:eastAsia="fr-FR"/>
              </w:rPr>
              <w:t>(3</w:t>
            </w:r>
            <w:r>
              <w:rPr>
                <w:rFonts w:ascii="Arial" w:cs="Arial" w:eastAsia="Times New Roman" w:hAnsi="Arial"/>
                <w:b/>
                <w:bCs/>
                <w:color w:val="0f243e"/>
                <w:sz w:val="24"/>
                <w:szCs w:val="24"/>
                <w:lang w:eastAsia="fr-FR"/>
              </w:rPr>
              <w:t>1</w:t>
            </w:r>
            <w:r>
              <w:rPr>
                <w:rFonts w:ascii="Arial" w:cs="Arial" w:eastAsia="Times New Roman" w:hAnsi="Arial"/>
                <w:b/>
                <w:bCs/>
                <w:color w:val="0f243e"/>
                <w:sz w:val="24"/>
                <w:szCs w:val="24"/>
                <w:lang w:eastAsia="fr-FR"/>
              </w:rPr>
              <w:t xml:space="preserve"> ans)</w:t>
            </w:r>
            <w:r>
              <w:rPr>
                <w:rFonts w:ascii="Arial" w:cs="Arial" w:eastAsia="Times New Roman" w:hAnsi="Arial"/>
                <w:color w:val="0f243e"/>
                <w:sz w:val="24"/>
                <w:szCs w:val="24"/>
                <w:lang w:eastAsia="fr-FR"/>
              </w:rPr>
              <w:br/>
            </w:r>
            <w:r>
              <w:rPr>
                <w:rFonts w:ascii="Arial" w:cs="Arial" w:eastAsia="Times New Roman" w:hAnsi="Arial"/>
                <w:color w:val="0f243e"/>
                <w:lang w:eastAsia="fr-FR"/>
              </w:rPr>
              <w:t>Missira</w:t>
            </w:r>
          </w:p>
          <w:p>
            <w:pPr>
              <w:pStyle w:val="style0"/>
              <w:spacing w:after="0" w:lineRule="auto" w:line="240"/>
              <w:ind w:right="85"/>
              <w:jc w:val="right"/>
              <w:rPr>
                <w:rFonts w:ascii="Arial" w:cs="Arial" w:eastAsia="Times New Roman" w:hAnsi="Arial"/>
                <w:color w:val="0f243e"/>
                <w:lang w:eastAsia="fr-FR"/>
              </w:rPr>
            </w:pPr>
            <w:r>
              <w:rPr>
                <w:rFonts w:ascii="Arial" w:cs="Arial" w:eastAsia="Times New Roman" w:hAnsi="Arial"/>
                <w:color w:val="0f243e"/>
                <w:lang w:eastAsia="fr-FR"/>
              </w:rPr>
              <w:t xml:space="preserve">Marié </w:t>
            </w:r>
            <w:r>
              <w:rPr>
                <w:rFonts w:ascii="Arial" w:cs="Arial" w:eastAsia="Times New Roman" w:hAnsi="Arial"/>
                <w:color w:val="0f243e"/>
                <w:lang w:eastAsia="fr-FR"/>
              </w:rPr>
              <w:t>avec un</w:t>
            </w:r>
            <w:r>
              <w:rPr>
                <w:rFonts w:ascii="Arial" w:cs="Arial" w:eastAsia="Times New Roman" w:hAnsi="Arial"/>
                <w:color w:val="0f243e"/>
                <w:lang w:eastAsia="fr-FR"/>
              </w:rPr>
              <w:t xml:space="preserve"> enfant</w:t>
            </w:r>
          </w:p>
          <w:p>
            <w:pPr>
              <w:pStyle w:val="style0"/>
              <w:spacing w:after="0" w:lineRule="auto" w:line="240"/>
              <w:ind w:right="85"/>
              <w:jc w:val="right"/>
              <w:rPr>
                <w:rFonts w:ascii="Arial" w:cs="Arial" w:eastAsia="Times New Roman" w:hAnsi="Arial"/>
                <w:color w:val="0f243e"/>
                <w:lang w:eastAsia="fr-FR"/>
              </w:rPr>
            </w:pPr>
            <w:r>
              <w:rPr>
                <w:rFonts w:ascii="Arial" w:cs="Arial" w:eastAsia="Times New Roman" w:hAnsi="Arial"/>
                <w:color w:val="0f243e"/>
                <w:lang w:eastAsia="fr-FR"/>
              </w:rPr>
              <w:t>P :</w:t>
            </w:r>
            <w:r>
              <w:rPr>
                <w:rFonts w:ascii="Arial" w:cs="Arial" w:eastAsia="Times New Roman" w:hAnsi="Arial"/>
                <w:color w:val="0f243e"/>
                <w:lang w:eastAsia="fr-FR"/>
              </w:rPr>
              <w:t xml:space="preserve"> 416 R : 212</w:t>
            </w:r>
          </w:p>
          <w:p>
            <w:pPr>
              <w:pStyle w:val="style0"/>
              <w:spacing w:after="100" w:afterAutospacing="true" w:lineRule="auto" w:line="240"/>
              <w:ind w:right="85"/>
              <w:jc w:val="right"/>
              <w:rPr>
                <w:rFonts w:ascii="Arial" w:cs="Arial" w:eastAsia="Times New Roman" w:hAnsi="Arial"/>
                <w:color w:val="0f243e"/>
                <w:lang w:eastAsia="fr-FR"/>
              </w:rPr>
            </w:pPr>
            <w:r>
              <w:rPr>
                <w:rFonts w:ascii="Arial" w:cs="Arial" w:eastAsia="Times New Roman" w:hAnsi="Arial"/>
                <w:color w:val="0f243e"/>
                <w:lang w:eastAsia="fr-FR"/>
              </w:rPr>
              <w:t>Ségou</w:t>
            </w:r>
            <w:r>
              <w:rPr>
                <w:rFonts w:ascii="Arial" w:cs="Arial" w:eastAsia="Times New Roman" w:hAnsi="Arial"/>
                <w:color w:val="0f243e"/>
                <w:lang w:eastAsia="fr-FR"/>
              </w:rPr>
              <w:t xml:space="preserve"> </w:t>
            </w:r>
            <w:r>
              <w:rPr>
                <w:rFonts w:ascii="Arial" w:cs="Arial" w:eastAsia="Times New Roman" w:hAnsi="Arial"/>
                <w:color w:val="0f243e"/>
                <w:lang w:eastAsia="fr-FR"/>
              </w:rPr>
              <w:br/>
            </w:r>
            <w:r>
              <w:rPr>
                <w:rFonts w:ascii="Arial" w:cs="Arial" w:eastAsia="Times New Roman" w:hAnsi="Arial"/>
                <w:color w:val="0f243e"/>
                <w:lang w:eastAsia="fr-FR"/>
              </w:rPr>
              <w:br/>
            </w:r>
            <w:r>
              <w:rPr>
                <w:rFonts w:ascii="Arial" w:cs="Arial" w:eastAsia="Times New Roman" w:hAnsi="Arial"/>
                <w:color w:val="0f243e"/>
                <w:lang w:eastAsia="fr-FR"/>
              </w:rPr>
              <w:t>Tel: +223 75 20 16 95</w:t>
            </w:r>
          </w:p>
          <w:p>
            <w:pPr>
              <w:pStyle w:val="style0"/>
              <w:rPr>
                <w:rFonts w:ascii="Arial" w:cs="Arial" w:eastAsia="Times New Roman" w:hAnsi="Arial"/>
                <w:color w:val="0f243e"/>
                <w:lang w:eastAsia="fr-FR"/>
              </w:rPr>
            </w:pPr>
            <w:r>
              <w:rPr>
                <w:rFonts w:ascii="Arial" w:cs="Arial" w:eastAsia="Times New Roman" w:hAnsi="Arial"/>
                <w:color w:val="0f243e"/>
                <w:lang w:eastAsia="fr-FR"/>
              </w:rPr>
              <w:t>Mail:</w:t>
            </w:r>
            <w:r>
              <w:rPr>
                <w:rFonts w:ascii="Arial" w:cs="Arial" w:eastAsia="Times New Roman" w:hAnsi="Arial"/>
                <w:color w:val="00b0f0"/>
                <w:lang w:eastAsia="fr-FR"/>
              </w:rPr>
              <w:t>yayamangara@gmail.com</w:t>
            </w:r>
          </w:p>
          <w:p>
            <w:pPr>
              <w:pStyle w:val="style0"/>
              <w:pBdr>
                <w:bottom w:val="single" w:sz="8" w:space="1" w:color="c00000"/>
              </w:pBdr>
              <w:spacing w:before="100" w:beforeAutospacing="true" w:after="100" w:afterAutospacing="true" w:lineRule="auto" w:line="240"/>
              <w:rPr>
                <w:rFonts w:ascii="Times New Roman" w:eastAsia="Times New Roman" w:hAnsi="Times New Roman"/>
                <w:sz w:val="32"/>
                <w:szCs w:val="24"/>
                <w:lang w:eastAsia="fr-FR"/>
              </w:rPr>
            </w:pPr>
            <w:r>
              <w:rPr>
                <w:rFonts w:ascii="Arial" w:cs="Arial" w:eastAsia="Times New Roman" w:hAnsi="Arial"/>
                <w:color w:val="0f243e"/>
                <w:lang w:eastAsia="fr-FR"/>
              </w:rPr>
              <w:br/>
            </w:r>
            <w:r>
              <w:rPr>
                <w:rFonts w:ascii="Arial" w:cs="Arial" w:eastAsia="Times New Roman" w:hAnsi="Arial"/>
                <w:b/>
                <w:bCs/>
                <w:color w:val="92d050"/>
                <w:sz w:val="24"/>
                <w:szCs w:val="20"/>
                <w:lang w:eastAsia="fr-FR"/>
              </w:rPr>
              <w:t>Langues</w:t>
            </w:r>
          </w:p>
          <w:p>
            <w:pPr>
              <w:pStyle w:val="style0"/>
              <w:spacing w:before="100" w:beforeAutospacing="true" w:after="0" w:lineRule="auto" w:line="240"/>
              <w:rPr>
                <w:rFonts w:ascii="Arial" w:cs="Arial" w:eastAsia="Times New Roman" w:hAnsi="Arial"/>
                <w:sz w:val="24"/>
                <w:szCs w:val="20"/>
                <w:lang w:eastAsia="fr-FR"/>
              </w:rPr>
            </w:pPr>
            <w:r>
              <w:rPr>
                <w:rFonts w:ascii="Arial" w:cs="Arial" w:eastAsia="Times New Roman" w:hAnsi="Arial"/>
                <w:sz w:val="24"/>
                <w:szCs w:val="20"/>
                <w:lang w:eastAsia="fr-FR"/>
              </w:rPr>
              <w:t>Français : courant</w:t>
            </w:r>
          </w:p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sz w:val="24"/>
                <w:szCs w:val="20"/>
                <w:lang w:eastAsia="fr-FR"/>
              </w:rPr>
            </w:pPr>
            <w:r>
              <w:rPr>
                <w:rFonts w:ascii="Arial" w:cs="Arial" w:eastAsia="Times New Roman" w:hAnsi="Arial"/>
                <w:sz w:val="24"/>
                <w:szCs w:val="20"/>
                <w:lang w:eastAsia="fr-FR"/>
              </w:rPr>
              <w:t xml:space="preserve">Anglais : Basique </w:t>
            </w:r>
          </w:p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sz w:val="24"/>
                <w:szCs w:val="20"/>
                <w:lang w:eastAsia="fr-FR"/>
              </w:rPr>
            </w:pPr>
            <w:r>
              <w:rPr>
                <w:rFonts w:ascii="Arial" w:cs="Arial" w:eastAsia="Times New Roman" w:hAnsi="Arial"/>
                <w:sz w:val="24"/>
                <w:szCs w:val="20"/>
                <w:lang w:eastAsia="fr-FR"/>
              </w:rPr>
              <w:t>Peulh : Courant</w:t>
            </w:r>
          </w:p>
          <w:p>
            <w:pPr>
              <w:pStyle w:val="style0"/>
              <w:spacing w:after="100" w:afterAutospacing="true" w:lineRule="auto" w:line="240"/>
              <w:ind w:right="85"/>
              <w:rPr>
                <w:rFonts w:ascii="Arial" w:cs="Arial" w:eastAsia="Times New Roman" w:hAnsi="Arial"/>
                <w:lang w:eastAsia="fr-FR"/>
              </w:rPr>
            </w:pPr>
            <w:r>
              <w:rPr>
                <w:rFonts w:ascii="Arial" w:cs="Arial" w:eastAsia="Times New Roman" w:hAnsi="Arial"/>
                <w:sz w:val="24"/>
                <w:szCs w:val="20"/>
                <w:lang w:eastAsia="fr-FR"/>
              </w:rPr>
              <w:t>Bambara : Courant</w:t>
            </w:r>
          </w:p>
          <w:p>
            <w:pPr>
              <w:pStyle w:val="style0"/>
              <w:pBdr>
                <w:bottom w:val="single" w:sz="8" w:space="1" w:color="c00000"/>
              </w:pBdr>
              <w:spacing w:before="100" w:beforeAutospacing="true" w:after="100" w:afterAutospacing="true" w:lineRule="auto" w:line="240"/>
              <w:rPr>
                <w:rFonts w:ascii="Times New Roman" w:eastAsia="Times New Roman" w:hAnsi="Times New Roman"/>
                <w:color w:val="92d050"/>
                <w:sz w:val="32"/>
                <w:szCs w:val="24"/>
                <w:lang w:eastAsia="fr-FR"/>
              </w:rPr>
            </w:pPr>
            <w:r>
              <w:rPr>
                <w:rFonts w:ascii="Arial" w:cs="Arial" w:eastAsia="Times New Roman" w:hAnsi="Arial"/>
                <w:b/>
                <w:bCs/>
                <w:color w:val="92d050"/>
                <w:sz w:val="24"/>
                <w:szCs w:val="20"/>
                <w:lang w:eastAsia="fr-FR"/>
              </w:rPr>
              <w:t>Compétences Informatique</w:t>
            </w:r>
          </w:p>
          <w:p>
            <w:pPr>
              <w:pStyle w:val="style0"/>
              <w:spacing w:before="100" w:beforeAutospacing="true" w:after="100" w:afterAutospacing="true" w:lineRule="auto" w:line="240"/>
              <w:ind w:left="142"/>
              <w:rPr>
                <w:rFonts w:ascii="Times New Roman" w:eastAsia="Times New Roman" w:hAnsi="Times New Roman"/>
                <w:sz w:val="32"/>
                <w:szCs w:val="24"/>
                <w:lang w:eastAsia="fr-FR"/>
              </w:rPr>
            </w:pPr>
            <w:r>
              <w:rPr>
                <w:rFonts w:ascii="Arial" w:cs="Arial" w:eastAsia="Times New Roman" w:hAnsi="Arial"/>
                <w:sz w:val="24"/>
                <w:szCs w:val="20"/>
                <w:lang w:eastAsia="fr-FR"/>
              </w:rPr>
              <w:t>Bureautique : Pack Microsoft Office, Messagerie, Navigation Internet Win Pharma, logiciel Pégase</w:t>
            </w:r>
          </w:p>
          <w:p>
            <w:pPr>
              <w:pStyle w:val="style0"/>
              <w:pBdr>
                <w:bottom w:val="single" w:sz="8" w:space="1" w:color="c00000"/>
              </w:pBdr>
              <w:spacing w:before="100" w:beforeAutospacing="true" w:after="100" w:afterAutospacing="true" w:lineRule="auto" w:line="240"/>
              <w:rPr>
                <w:rFonts w:ascii="Times New Roman" w:eastAsia="Times New Roman" w:hAnsi="Times New Roman"/>
                <w:color w:val="92d050"/>
                <w:sz w:val="32"/>
                <w:szCs w:val="24"/>
                <w:lang w:eastAsia="fr-FR"/>
              </w:rPr>
            </w:pPr>
            <w:r>
              <w:rPr>
                <w:rFonts w:ascii="Arial" w:cs="Arial" w:eastAsia="Times New Roman" w:hAnsi="Arial"/>
                <w:b/>
                <w:bCs/>
                <w:color w:val="92d050"/>
                <w:sz w:val="24"/>
                <w:szCs w:val="20"/>
                <w:lang w:eastAsia="fr-FR"/>
              </w:rPr>
              <w:t>Références professionnelles</w:t>
            </w:r>
          </w:p>
          <w:p>
            <w:pPr>
              <w:pStyle w:val="style0"/>
              <w:tabs>
                <w:tab w:val="left" w:leader="none" w:pos="0"/>
              </w:tabs>
              <w:suppressAutoHyphens/>
              <w:spacing w:after="0" w:lineRule="auto" w:line="360"/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Seydou </w:t>
            </w:r>
            <w:r>
              <w:rPr>
                <w:rFonts w:ascii="Trebuchet MS" w:hAnsi="Trebuchet MS"/>
                <w:sz w:val="18"/>
                <w:szCs w:val="18"/>
              </w:rPr>
              <w:t>Dem</w:t>
            </w:r>
            <w:r>
              <w:rPr>
                <w:rFonts w:ascii="Trebuchet MS" w:hAnsi="Trebuchet MS"/>
                <w:sz w:val="18"/>
                <w:szCs w:val="18"/>
              </w:rPr>
              <w:t xml:space="preserve"> (PDG </w:t>
            </w:r>
            <w:r>
              <w:rPr>
                <w:rFonts w:ascii="Trebuchet MS" w:hAnsi="Trebuchet MS"/>
                <w:sz w:val="18"/>
                <w:szCs w:val="18"/>
              </w:rPr>
              <w:t>Dem</w:t>
            </w:r>
            <w:r>
              <w:rPr>
                <w:rFonts w:ascii="Trebuchet MS" w:hAnsi="Trebuchet MS"/>
                <w:sz w:val="18"/>
                <w:szCs w:val="18"/>
              </w:rPr>
              <w:t xml:space="preserve"> Transfert Compagnie textiles et immobilier)</w:t>
            </w:r>
          </w:p>
          <w:p>
            <w:pPr>
              <w:pStyle w:val="style0"/>
              <w:tabs>
                <w:tab w:val="left" w:leader="none" w:pos="0"/>
              </w:tabs>
              <w:suppressAutoHyphens/>
              <w:spacing w:after="0" w:lineRule="auto" w:line="360"/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Tel:</w:t>
            </w: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>
              <w:rPr>
                <w:rFonts w:ascii="Trebuchet MS" w:hAnsi="Trebuchet MS"/>
                <w:sz w:val="18"/>
                <w:szCs w:val="18"/>
              </w:rPr>
              <w:t>79 18 21 03</w:t>
            </w:r>
          </w:p>
          <w:p>
            <w:pPr>
              <w:pStyle w:val="style0"/>
              <w:tabs>
                <w:tab w:val="left" w:leader="none" w:pos="0"/>
              </w:tabs>
              <w:suppressAutoHyphens/>
              <w:spacing w:after="0" w:lineRule="auto" w:line="360"/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Dr Diallo </w:t>
            </w:r>
            <w:r>
              <w:rPr>
                <w:rFonts w:ascii="Trebuchet MS" w:hAnsi="Trebuchet MS"/>
                <w:sz w:val="18"/>
                <w:szCs w:val="18"/>
              </w:rPr>
              <w:t>Youma</w:t>
            </w: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>
              <w:rPr>
                <w:rFonts w:ascii="Trebuchet MS" w:hAnsi="Trebuchet MS"/>
                <w:sz w:val="18"/>
                <w:szCs w:val="18"/>
              </w:rPr>
              <w:t>Boukenen</w:t>
            </w:r>
            <w:r>
              <w:rPr>
                <w:rFonts w:ascii="Trebuchet MS" w:hAnsi="Trebuchet MS"/>
                <w:sz w:val="18"/>
                <w:szCs w:val="18"/>
              </w:rPr>
              <w:t xml:space="preserve"> Pharmacie Sidi </w:t>
            </w:r>
            <w:r>
              <w:rPr>
                <w:rFonts w:ascii="Trebuchet MS" w:hAnsi="Trebuchet MS"/>
                <w:sz w:val="18"/>
                <w:szCs w:val="18"/>
              </w:rPr>
              <w:t>Boukenen</w:t>
            </w:r>
            <w:r>
              <w:rPr>
                <w:rFonts w:ascii="Trebuchet MS" w:hAnsi="Trebuchet MS"/>
                <w:sz w:val="18"/>
                <w:szCs w:val="18"/>
              </w:rPr>
              <w:t>,</w:t>
            </w:r>
          </w:p>
          <w:p>
            <w:pPr>
              <w:pStyle w:val="style0"/>
              <w:tabs>
                <w:tab w:val="left" w:leader="none" w:pos="0"/>
              </w:tabs>
              <w:suppressAutoHyphens/>
              <w:spacing w:after="0" w:lineRule="auto" w:line="360"/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Tel:</w:t>
            </w: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bookmarkStart w:id="0" w:name="_GoBack"/>
            <w:bookmarkEnd w:id="0"/>
            <w:r>
              <w:rPr>
                <w:rFonts w:ascii="Trebuchet MS" w:hAnsi="Trebuchet MS"/>
                <w:sz w:val="18"/>
                <w:szCs w:val="18"/>
              </w:rPr>
              <w:t>76 37 47 16</w:t>
            </w:r>
          </w:p>
          <w:p>
            <w:pPr>
              <w:pStyle w:val="style0"/>
              <w:tabs>
                <w:tab w:val="left" w:leader="none" w:pos="0"/>
              </w:tabs>
              <w:suppressAutoHyphens/>
              <w:spacing w:after="0" w:lineRule="auto" w:line="360"/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Younouss</w:t>
            </w:r>
            <w:r>
              <w:rPr>
                <w:rFonts w:ascii="Trebuchet MS" w:hAnsi="Trebuchet MS"/>
                <w:sz w:val="18"/>
                <w:szCs w:val="18"/>
              </w:rPr>
              <w:t xml:space="preserve"> Cissé (expert-comptable)</w:t>
            </w:r>
          </w:p>
          <w:p>
            <w:pPr>
              <w:pStyle w:val="style0"/>
              <w:tabs>
                <w:tab w:val="left" w:leader="none" w:pos="0"/>
              </w:tabs>
              <w:suppressAutoHyphens/>
              <w:spacing w:after="0" w:lineRule="auto" w:line="360"/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Comptable Financier Cabinet ITM,</w:t>
            </w:r>
          </w:p>
          <w:p>
            <w:pPr>
              <w:pStyle w:val="style0"/>
              <w:tabs>
                <w:tab w:val="left" w:leader="none" w:pos="0"/>
              </w:tabs>
              <w:suppressAutoHyphens/>
              <w:spacing w:after="0" w:lineRule="auto" w:line="360"/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Tel: 70 75 04 14</w:t>
            </w:r>
          </w:p>
          <w:p>
            <w:pPr>
              <w:pStyle w:val="style0"/>
              <w:rPr>
                <w:rFonts w:ascii="Arial" w:cs="Arial" w:eastAsia="Times New Roman" w:hAnsi="Arial"/>
                <w:sz w:val="24"/>
                <w:szCs w:val="24"/>
                <w:lang w:eastAsia="fr-FR"/>
              </w:rPr>
            </w:pPr>
          </w:p>
          <w:p>
            <w:pPr>
              <w:pStyle w:val="style0"/>
              <w:rPr>
                <w:rFonts w:ascii="Arial" w:cs="Arial" w:eastAsia="Times New Roman" w:hAnsi="Arial"/>
                <w:sz w:val="24"/>
                <w:szCs w:val="24"/>
                <w:lang w:eastAsia="fr-FR"/>
              </w:rPr>
            </w:pPr>
          </w:p>
          <w:p>
            <w:pPr>
              <w:pStyle w:val="style0"/>
              <w:rPr>
                <w:rFonts w:ascii="Arial" w:cs="Arial" w:eastAsia="Times New Roman" w:hAnsi="Arial"/>
                <w:sz w:val="24"/>
                <w:szCs w:val="24"/>
                <w:lang w:eastAsia="fr-FR"/>
              </w:rPr>
            </w:pPr>
          </w:p>
          <w:p>
            <w:pPr>
              <w:pStyle w:val="style0"/>
              <w:rPr>
                <w:rFonts w:ascii="Arial" w:cs="Arial" w:eastAsia="Times New Roman" w:hAnsi="Arial"/>
                <w:sz w:val="24"/>
                <w:szCs w:val="24"/>
                <w:lang w:eastAsia="fr-FR"/>
              </w:rPr>
            </w:pPr>
          </w:p>
          <w:p>
            <w:pPr>
              <w:pStyle w:val="style0"/>
              <w:rPr>
                <w:rFonts w:ascii="Arial" w:cs="Arial" w:eastAsia="Times New Roman" w:hAnsi="Arial"/>
                <w:sz w:val="24"/>
                <w:szCs w:val="24"/>
                <w:lang w:eastAsia="fr-FR"/>
              </w:rPr>
            </w:pPr>
          </w:p>
        </w:tc>
        <w:tc>
          <w:tcPr>
            <w:tcW w:w="3632" w:type="pct"/>
            <w:tcBorders/>
            <w:tcFitText w:val="false"/>
            <w:hideMark/>
          </w:tcPr>
          <w:p>
            <w:pPr>
              <w:pStyle w:val="style0"/>
              <w:tabs>
                <w:tab w:val="left" w:leader="none" w:pos="0"/>
              </w:tabs>
              <w:jc w:val="both"/>
              <w:rPr>
                <w:rFonts w:ascii="Trebuchet MS" w:cs="Arial" w:hAnsi="Trebuchet MS"/>
                <w:spacing w:val="-3"/>
                <w:sz w:val="18"/>
                <w:szCs w:val="18"/>
              </w:rPr>
            </w:pPr>
            <w:r>
              <w:rPr>
                <w:rFonts w:ascii="Trebuchet MS" w:cs="Arial" w:hAnsi="Trebuchet MS"/>
                <w:b/>
                <w:spacing w:val="-3"/>
                <w:szCs w:val="18"/>
                <w:shd w:val="clear" w:color="auto" w:fill="92d050"/>
              </w:rPr>
              <w:t>Principales qualifications</w:t>
            </w:r>
            <w:r>
              <w:rPr>
                <w:rFonts w:ascii="Trebuchet MS" w:cs="Arial" w:hAnsi="Trebuchet MS"/>
                <w:spacing w:val="-3"/>
                <w:szCs w:val="18"/>
              </w:rPr>
              <w:t xml:space="preserve"> </w:t>
            </w:r>
            <w:r>
              <w:rPr>
                <w:rFonts w:ascii="Trebuchet MS" w:cs="Arial" w:hAnsi="Trebuchet MS"/>
                <w:spacing w:val="-3"/>
                <w:sz w:val="18"/>
                <w:szCs w:val="18"/>
              </w:rPr>
              <w:t>: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>
            <w:pPr>
              <w:pStyle w:val="style0"/>
              <w:spacing w:after="0"/>
              <w:jc w:val="both"/>
              <w:rPr>
                <w:rFonts w:ascii="Century Gothic" w:cs="Arial" w:hAnsi="Century Gothic"/>
                <w:spacing w:val="-3"/>
                <w:sz w:val="18"/>
                <w:szCs w:val="18"/>
              </w:rPr>
            </w:pPr>
            <w:r>
              <w:rPr>
                <w:rFonts w:ascii="Century Gothic" w:cs="Arial" w:hAnsi="Century Gothic"/>
                <w:spacing w:val="-3"/>
                <w:sz w:val="18"/>
                <w:szCs w:val="18"/>
              </w:rPr>
              <w:t>Tout au long de mon parcours, j’ai eu à effectuer des tâches comptables</w:t>
            </w:r>
            <w:r>
              <w:rPr>
                <w:rFonts w:ascii="Century Gothic" w:cs="Arial" w:hAnsi="Century Gothic"/>
                <w:spacing w:val="-3"/>
                <w:sz w:val="18"/>
                <w:szCs w:val="18"/>
              </w:rPr>
              <w:t xml:space="preserve"> et administratives</w:t>
            </w:r>
            <w:r>
              <w:rPr>
                <w:rFonts w:ascii="Century Gothic" w:cs="Arial" w:hAnsi="Century Gothic"/>
                <w:spacing w:val="-3"/>
                <w:sz w:val="18"/>
                <w:szCs w:val="18"/>
              </w:rPr>
              <w:t xml:space="preserve"> ; à participer </w:t>
            </w:r>
            <w:r>
              <w:rPr>
                <w:rFonts w:ascii="Century Gothic" w:cs="Arial" w:hAnsi="Century Gothic"/>
                <w:spacing w:val="-3"/>
                <w:sz w:val="18"/>
                <w:szCs w:val="18"/>
              </w:rPr>
              <w:t xml:space="preserve">à la gestion comptable et audit des entreprises </w:t>
            </w:r>
            <w:r>
              <w:rPr>
                <w:rFonts w:ascii="Century Gothic" w:cs="Arial" w:hAnsi="Century Gothic"/>
                <w:spacing w:val="-3"/>
                <w:sz w:val="18"/>
                <w:szCs w:val="18"/>
              </w:rPr>
              <w:t>organiser par le cabinet</w:t>
            </w:r>
            <w:r>
              <w:rPr>
                <w:rFonts w:ascii="Century Gothic" w:cs="Arial" w:hAnsi="Century Gothic"/>
                <w:spacing w:val="-3"/>
                <w:sz w:val="18"/>
                <w:szCs w:val="18"/>
              </w:rPr>
              <w:t xml:space="preserve"> ITM Audit &amp; Conseils</w:t>
            </w:r>
            <w:r>
              <w:rPr>
                <w:rFonts w:ascii="Century Gothic" w:cs="Arial" w:hAnsi="Century Gothic"/>
                <w:spacing w:val="-3"/>
                <w:sz w:val="18"/>
                <w:szCs w:val="18"/>
              </w:rPr>
              <w:t xml:space="preserve"> sur le Module du SYSCOHADA révisé.</w:t>
            </w:r>
          </w:p>
          <w:p>
            <w:pPr>
              <w:pStyle w:val="style0"/>
              <w:spacing w:after="0"/>
              <w:jc w:val="both"/>
              <w:rPr>
                <w:rFonts w:ascii="Century Gothic" w:cs="Arial" w:hAnsi="Century Gothic"/>
                <w:spacing w:val="-3"/>
                <w:sz w:val="18"/>
                <w:szCs w:val="18"/>
              </w:rPr>
            </w:pPr>
            <w:r>
              <w:rPr>
                <w:rFonts w:ascii="Century Gothic" w:cs="Arial" w:hAnsi="Century Gothic"/>
                <w:spacing w:val="-3"/>
                <w:sz w:val="18"/>
                <w:szCs w:val="18"/>
              </w:rPr>
              <w:t xml:space="preserve">J’ai aussi eu à travailler comme gestionnaire comptable et audit d’une grande pharmacie et du bénévolat ainsi que des stages pratiques à la BNDA et comme prestataire de service Comptable dans une agence de transfert d’argent </w:t>
            </w:r>
            <w:r>
              <w:rPr>
                <w:rFonts w:ascii="Century Gothic" w:cs="Arial" w:hAnsi="Century Gothic"/>
                <w:spacing w:val="-3"/>
                <w:sz w:val="18"/>
                <w:szCs w:val="18"/>
              </w:rPr>
              <w:t>dans une</w:t>
            </w:r>
            <w:r>
              <w:rPr>
                <w:rFonts w:ascii="Century Gothic" w:cs="Arial" w:hAnsi="Century Gothic"/>
                <w:spacing w:val="-3"/>
                <w:sz w:val="18"/>
                <w:szCs w:val="18"/>
              </w:rPr>
              <w:t xml:space="preserve"> agence de transfert d’argent.</w:t>
            </w:r>
          </w:p>
          <w:p>
            <w:pPr>
              <w:pStyle w:val="style0"/>
              <w:spacing w:after="0"/>
              <w:jc w:val="both"/>
              <w:rPr>
                <w:rFonts w:ascii="Century Gothic" w:cs="Arial" w:hAnsi="Century Gothic"/>
                <w:spacing w:val="-3"/>
                <w:sz w:val="18"/>
                <w:szCs w:val="18"/>
              </w:rPr>
            </w:pPr>
            <w:r>
              <w:rPr>
                <w:rFonts w:ascii="Century Gothic" w:cs="Arial" w:hAnsi="Century Gothic"/>
                <w:spacing w:val="-3"/>
                <w:sz w:val="18"/>
                <w:szCs w:val="18"/>
              </w:rPr>
              <w:t>Ce parcours professionnel m’a permis d’acquérir une bonne connaissance technique</w:t>
            </w:r>
            <w:r>
              <w:rPr>
                <w:rFonts w:ascii="Century Gothic" w:cs="Arial" w:hAnsi="Century Gothic"/>
                <w:spacing w:val="-3"/>
                <w:sz w:val="18"/>
                <w:szCs w:val="18"/>
              </w:rPr>
              <w:t xml:space="preserve"> en matière de comptabilité, l’audit et conseils et des systèmes d’information combiné à un sens élevé d’organisation et du travail en équipe. </w:t>
            </w:r>
          </w:p>
          <w:p>
            <w:pPr>
              <w:pStyle w:val="style0"/>
              <w:pBdr>
                <w:bottom w:val="single" w:sz="8" w:space="1" w:color="c00000"/>
              </w:pBdr>
              <w:shd w:val="clear" w:color="auto" w:fill="92d050"/>
              <w:spacing w:before="100" w:beforeAutospacing="true" w:after="100" w:afterAutospacing="true" w:lineRule="auto" w:line="240"/>
              <w:rPr>
                <w:rFonts w:ascii="Arial" w:cs="Arial" w:eastAsia="Times New Roman" w:hAnsi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" w:cs="Arial" w:eastAsia="Times New Roman" w:hAnsi="Arial"/>
                <w:b/>
                <w:bCs/>
                <w:sz w:val="24"/>
                <w:szCs w:val="24"/>
                <w:lang w:eastAsia="fr-FR"/>
              </w:rPr>
              <w:t xml:space="preserve">Expériences en entreprise </w:t>
            </w:r>
          </w:p>
          <w:p>
            <w:pPr>
              <w:pStyle w:val="style0"/>
              <w:spacing w:after="0"/>
              <w:rPr>
                <w:rFonts w:ascii="Century Gothic" w:cs="Arial" w:hAnsi="Century Gothic"/>
                <w:szCs w:val="24"/>
              </w:rPr>
            </w:pPr>
            <w:r>
              <w:rPr>
                <w:rFonts w:ascii="Century Gothic" w:cs="Arial" w:hAnsi="Century Gothic"/>
                <w:b/>
                <w:szCs w:val="24"/>
              </w:rPr>
              <w:t>Depuis le 16 Mai 2019</w:t>
            </w:r>
            <w:r>
              <w:rPr>
                <w:rFonts w:ascii="Century Gothic" w:cs="Arial" w:hAnsi="Century Gothic"/>
                <w:b/>
                <w:szCs w:val="24"/>
              </w:rPr>
              <w:t xml:space="preserve"> : </w:t>
            </w:r>
            <w:r>
              <w:rPr>
                <w:rFonts w:ascii="Century Gothic" w:cs="Arial" w:hAnsi="Century Gothic"/>
                <w:szCs w:val="24"/>
              </w:rPr>
              <w:t>Gestionnaire</w:t>
            </w:r>
            <w:r>
              <w:rPr>
                <w:rFonts w:ascii="Century Gothic" w:cs="Arial" w:hAnsi="Century Gothic"/>
                <w:szCs w:val="24"/>
              </w:rPr>
              <w:t xml:space="preserve"> comptable et</w:t>
            </w:r>
            <w:r>
              <w:rPr>
                <w:rFonts w:ascii="Century Gothic" w:cs="Arial" w:hAnsi="Century Gothic"/>
                <w:szCs w:val="24"/>
              </w:rPr>
              <w:t xml:space="preserve"> des stocks à la pharmacie Rond-point Ségou</w:t>
            </w:r>
            <w:r>
              <w:rPr>
                <w:rFonts w:ascii="Century Gothic" w:cs="Arial" w:hAnsi="Century Gothic"/>
                <w:szCs w:val="24"/>
              </w:rPr>
              <w:t>.</w:t>
            </w:r>
          </w:p>
          <w:p>
            <w:pPr>
              <w:pStyle w:val="style0"/>
              <w:spacing w:after="0"/>
              <w:rPr>
                <w:rFonts w:ascii="Century Gothic" w:cs="Arial" w:hAnsi="Century Gothic"/>
                <w:szCs w:val="24"/>
              </w:rPr>
            </w:pPr>
            <w:r>
              <w:rPr>
                <w:rFonts w:ascii="Century Gothic" w:cs="Arial" w:hAnsi="Century Gothic"/>
                <w:b/>
                <w:szCs w:val="24"/>
              </w:rPr>
              <w:t>Missions et tâches</w:t>
            </w:r>
            <w:r>
              <w:rPr>
                <w:rFonts w:ascii="Century Gothic" w:cs="Arial" w:hAnsi="Century Gothic"/>
                <w:szCs w:val="24"/>
              </w:rPr>
              <w:t> :</w:t>
            </w:r>
          </w:p>
          <w:p>
            <w:pPr>
              <w:pStyle w:val="style179"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ffffff"/>
              <w:spacing w:after="220" w:lineRule="auto" w:line="240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>
              <w:rPr>
                <w:rFonts w:ascii="Century Gothic" w:cs="Century Gothic" w:eastAsia="Century Gothic" w:hAnsi="Century Gothic"/>
                <w:sz w:val="20"/>
                <w:szCs w:val="20"/>
                <w:highlight w:val="white"/>
              </w:rPr>
              <w:t>La vérification des pièces comptables avec les relevés des comptes ;</w:t>
            </w:r>
          </w:p>
          <w:p>
            <w:pPr>
              <w:pStyle w:val="style179"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ffffff"/>
              <w:spacing w:after="220" w:lineRule="auto" w:line="240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>
              <w:rPr>
                <w:rFonts w:ascii="Century Gothic" w:cs="Century Gothic" w:eastAsia="Century Gothic" w:hAnsi="Century Gothic"/>
                <w:sz w:val="20"/>
                <w:szCs w:val="20"/>
                <w:highlight w:val="white"/>
              </w:rPr>
              <w:t>Inventaire mensuel et annuel ;</w:t>
            </w:r>
          </w:p>
          <w:p>
            <w:pPr>
              <w:pStyle w:val="style179"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ffffff"/>
              <w:spacing w:after="220" w:lineRule="auto" w:line="240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>
              <w:rPr>
                <w:rFonts w:ascii="Century Gothic" w:cs="Century Gothic" w:eastAsia="Century Gothic" w:hAnsi="Century Gothic"/>
                <w:sz w:val="20"/>
                <w:szCs w:val="20"/>
                <w:highlight w:val="white"/>
              </w:rPr>
              <w:t>Saisie des factures ;</w:t>
            </w:r>
          </w:p>
          <w:p>
            <w:pPr>
              <w:pStyle w:val="style179"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ffffff"/>
              <w:spacing w:after="220" w:lineRule="auto" w:line="240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>
              <w:rPr>
                <w:rFonts w:ascii="Century Gothic" w:cs="Century Gothic" w:eastAsia="Century Gothic" w:hAnsi="Century Gothic"/>
                <w:sz w:val="20"/>
                <w:szCs w:val="20"/>
                <w:highlight w:val="white"/>
              </w:rPr>
              <w:t xml:space="preserve">Vérification des ordres de virement et les chèques ; </w:t>
            </w:r>
          </w:p>
          <w:p>
            <w:pPr>
              <w:pStyle w:val="style179"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ffffff"/>
              <w:spacing w:after="220" w:lineRule="auto" w:line="240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>
              <w:rPr>
                <w:rFonts w:ascii="Century Gothic" w:cs="Century Gothic" w:eastAsia="Century Gothic" w:hAnsi="Century Gothic"/>
                <w:sz w:val="20"/>
                <w:szCs w:val="20"/>
                <w:highlight w:val="white"/>
              </w:rPr>
              <w:t xml:space="preserve">Commande des produits; </w:t>
            </w:r>
          </w:p>
          <w:p>
            <w:pPr>
              <w:pStyle w:val="style179"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ffffff"/>
              <w:spacing w:after="0" w:lineRule="auto" w:line="360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>
              <w:rPr>
                <w:rFonts w:ascii="Century Gothic" w:cs="Century Gothic" w:eastAsia="Century Gothic" w:hAnsi="Century Gothic"/>
                <w:sz w:val="20"/>
                <w:szCs w:val="20"/>
                <w:highlight w:val="white"/>
              </w:rPr>
              <w:t>Validation des Bons de décaissements ;</w:t>
            </w:r>
          </w:p>
          <w:p>
            <w:pPr>
              <w:pStyle w:val="style0"/>
              <w:spacing w:after="0" w:lineRule="auto" w:line="360"/>
              <w:rPr>
                <w:rFonts w:ascii="Century Gothic" w:cs="Arial" w:hAnsi="Century Gothic"/>
                <w:szCs w:val="24"/>
              </w:rPr>
            </w:pPr>
            <w:r>
              <w:rPr>
                <w:rFonts w:ascii="Century Gothic" w:cs="Arial" w:hAnsi="Century Gothic"/>
                <w:b/>
                <w:szCs w:val="24"/>
              </w:rPr>
              <w:t xml:space="preserve">Janvier à Juillet </w:t>
            </w:r>
            <w:r>
              <w:rPr>
                <w:rFonts w:ascii="Century Gothic" w:cs="Arial" w:hAnsi="Century Gothic"/>
                <w:b/>
                <w:szCs w:val="24"/>
              </w:rPr>
              <w:t xml:space="preserve">2018: </w:t>
            </w:r>
            <w:r>
              <w:rPr>
                <w:rFonts w:ascii="Century Gothic" w:cs="Arial" w:hAnsi="Century Gothic"/>
                <w:szCs w:val="24"/>
              </w:rPr>
              <w:t>Stage pratique au cabinet ITM Audit &amp;</w:t>
            </w:r>
            <w:r>
              <w:rPr>
                <w:rFonts w:ascii="Century Gothic" w:cs="Arial" w:hAnsi="Century Gothic"/>
                <w:szCs w:val="24"/>
              </w:rPr>
              <w:t xml:space="preserve"> Conseils à Bamako</w:t>
            </w:r>
          </w:p>
          <w:p>
            <w:pPr>
              <w:pStyle w:val="style0"/>
              <w:spacing w:after="0"/>
              <w:rPr>
                <w:rFonts w:ascii="Century Gothic" w:cs="Arial" w:hAnsi="Century Gothic"/>
                <w:szCs w:val="24"/>
              </w:rPr>
            </w:pPr>
            <w:r>
              <w:rPr>
                <w:rFonts w:ascii="Century Gothic" w:cs="Arial" w:hAnsi="Century Gothic"/>
                <w:b/>
                <w:szCs w:val="24"/>
              </w:rPr>
              <w:t>Missions et tâches</w:t>
            </w:r>
            <w:r>
              <w:rPr>
                <w:rFonts w:ascii="Century Gothic" w:cs="Arial" w:hAnsi="Century Gothic"/>
                <w:b/>
                <w:szCs w:val="24"/>
              </w:rPr>
              <w:t> </w:t>
            </w:r>
            <w:r>
              <w:rPr>
                <w:rFonts w:ascii="Century Gothic" w:cs="Arial" w:hAnsi="Century Gothic"/>
                <w:szCs w:val="24"/>
              </w:rPr>
              <w:t>:</w:t>
            </w:r>
          </w:p>
          <w:p>
            <w:pPr>
              <w:pStyle w:val="style179"/>
              <w:numPr>
                <w:ilvl w:val="0"/>
                <w:numId w:val="2"/>
              </w:numPr>
              <w:jc w:val="both"/>
              <w:rPr>
                <w:rFonts w:ascii="Century Gothic" w:cs="Arial" w:hAnsi="Century Gothic"/>
                <w:spacing w:val="-3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Faire la saisie des pièces comptables sur le logiciel e-Pégase </w:t>
            </w:r>
            <w:r>
              <w:rPr>
                <w:rFonts w:ascii="Century Gothic" w:cs="Arial" w:hAnsi="Century Gothic"/>
                <w:spacing w:val="-3"/>
                <w:sz w:val="20"/>
                <w:szCs w:val="18"/>
              </w:rPr>
              <w:t>;</w:t>
            </w:r>
          </w:p>
          <w:p>
            <w:pPr>
              <w:pStyle w:val="style179"/>
              <w:numPr>
                <w:ilvl w:val="0"/>
                <w:numId w:val="2"/>
              </w:numPr>
              <w:jc w:val="both"/>
              <w:rPr>
                <w:rFonts w:ascii="Century Gothic" w:cs="Arial" w:hAnsi="Century Gothic"/>
                <w:spacing w:val="-3"/>
                <w:sz w:val="20"/>
                <w:szCs w:val="18"/>
              </w:rPr>
            </w:pPr>
            <w:r>
              <w:rPr>
                <w:rFonts w:ascii="Century Gothic" w:cs="Arial" w:hAnsi="Century Gothic"/>
                <w:spacing w:val="-3"/>
                <w:sz w:val="20"/>
                <w:szCs w:val="18"/>
              </w:rPr>
              <w:t>Imputation des pièces comptables ;</w:t>
            </w:r>
          </w:p>
          <w:p>
            <w:pPr>
              <w:pStyle w:val="style179"/>
              <w:numPr>
                <w:ilvl w:val="0"/>
                <w:numId w:val="2"/>
              </w:numPr>
              <w:jc w:val="both"/>
              <w:rPr>
                <w:rFonts w:ascii="Century Gothic" w:cs="Arial" w:hAnsi="Century Gothic"/>
                <w:spacing w:val="-3"/>
                <w:sz w:val="20"/>
                <w:szCs w:val="18"/>
              </w:rPr>
            </w:pPr>
            <w:r>
              <w:rPr>
                <w:rFonts w:ascii="Century Gothic" w:cs="Arial" w:hAnsi="Century Gothic"/>
                <w:spacing w:val="-3"/>
                <w:sz w:val="20"/>
                <w:szCs w:val="18"/>
              </w:rPr>
              <w:t>Elaboration des bulletins de paie</w:t>
            </w:r>
            <w:r>
              <w:rPr>
                <w:rFonts w:ascii="Century Gothic" w:cs="Arial" w:hAnsi="Century Gothic"/>
                <w:spacing w:val="-3"/>
                <w:sz w:val="20"/>
                <w:szCs w:val="18"/>
              </w:rPr>
              <w:t> ;</w:t>
            </w:r>
          </w:p>
          <w:p>
            <w:pPr>
              <w:pStyle w:val="style179"/>
              <w:numPr>
                <w:ilvl w:val="0"/>
                <w:numId w:val="2"/>
              </w:numPr>
              <w:jc w:val="both"/>
              <w:rPr>
                <w:rFonts w:ascii="Century Gothic" w:cs="Arial" w:hAnsi="Century Gothic"/>
                <w:spacing w:val="-3"/>
                <w:sz w:val="20"/>
                <w:szCs w:val="18"/>
              </w:rPr>
            </w:pPr>
            <w:r>
              <w:rPr>
                <w:rFonts w:ascii="Century Gothic" w:cs="Arial" w:hAnsi="Century Gothic"/>
                <w:spacing w:val="-3"/>
                <w:sz w:val="20"/>
                <w:szCs w:val="18"/>
              </w:rPr>
              <w:t>Classement et archivage des dossiers ;</w:t>
            </w:r>
          </w:p>
          <w:p>
            <w:pPr>
              <w:pStyle w:val="style179"/>
              <w:numPr>
                <w:ilvl w:val="0"/>
                <w:numId w:val="2"/>
              </w:numPr>
              <w:jc w:val="both"/>
              <w:rPr>
                <w:rFonts w:ascii="Century Gothic" w:cs="Arial" w:hAnsi="Century Gothic"/>
                <w:spacing w:val="-3"/>
                <w:sz w:val="20"/>
                <w:szCs w:val="18"/>
              </w:rPr>
            </w:pPr>
            <w:r>
              <w:rPr>
                <w:rFonts w:ascii="Century Gothic" w:cs="Arial" w:hAnsi="Century Gothic"/>
                <w:spacing w:val="-3"/>
                <w:sz w:val="20"/>
                <w:szCs w:val="18"/>
              </w:rPr>
              <w:t>Réconciliations bancaires</w:t>
            </w:r>
          </w:p>
          <w:p>
            <w:pPr>
              <w:pStyle w:val="style0"/>
              <w:spacing w:after="0"/>
              <w:rPr>
                <w:rFonts w:ascii="Century Gothic" w:cs="Arial" w:hAnsi="Century Gothic"/>
                <w:szCs w:val="24"/>
              </w:rPr>
            </w:pPr>
            <w:r>
              <w:rPr>
                <w:rFonts w:ascii="Century Gothic" w:cs="Arial" w:hAnsi="Century Gothic"/>
                <w:b/>
                <w:szCs w:val="24"/>
              </w:rPr>
              <w:t>Septembre à Novembre 2018</w:t>
            </w:r>
            <w:r>
              <w:rPr>
                <w:rFonts w:ascii="Arial" w:cs="Arial" w:hAnsi="Arial"/>
                <w:b/>
                <w:sz w:val="24"/>
                <w:szCs w:val="24"/>
              </w:rPr>
              <w:t xml:space="preserve">: </w:t>
            </w:r>
            <w:r>
              <w:rPr>
                <w:rFonts w:ascii="Century Gothic" w:cs="Arial" w:hAnsi="Century Gothic"/>
                <w:szCs w:val="24"/>
              </w:rPr>
              <w:t>Stage pratique à la</w:t>
            </w:r>
            <w:r>
              <w:rPr>
                <w:rFonts w:ascii="Century Gothic" w:cs="Arial" w:hAnsi="Century Gothic"/>
                <w:b/>
                <w:szCs w:val="24"/>
              </w:rPr>
              <w:t xml:space="preserve"> </w:t>
            </w:r>
            <w:r>
              <w:rPr>
                <w:rFonts w:ascii="Century Gothic" w:cs="Arial" w:hAnsi="Century Gothic"/>
                <w:szCs w:val="24"/>
              </w:rPr>
              <w:t>Banque Nationale pour le Développement Agricole du Mali</w:t>
            </w:r>
          </w:p>
          <w:p>
            <w:pPr>
              <w:pStyle w:val="style0"/>
              <w:spacing w:after="0"/>
              <w:rPr>
                <w:rFonts w:ascii="Century Gothic" w:cs="Arial" w:hAnsi="Century Gothic"/>
                <w:szCs w:val="24"/>
              </w:rPr>
            </w:pPr>
            <w:r>
              <w:rPr>
                <w:rFonts w:ascii="Century Gothic" w:cs="Arial" w:hAnsi="Century Gothic"/>
                <w:b/>
                <w:szCs w:val="24"/>
              </w:rPr>
              <w:t>Missions et tâches</w:t>
            </w:r>
            <w:r>
              <w:rPr>
                <w:rFonts w:ascii="Century Gothic" w:cs="Arial" w:hAnsi="Century Gothic"/>
                <w:b/>
                <w:szCs w:val="24"/>
              </w:rPr>
              <w:t> </w:t>
            </w:r>
            <w:r>
              <w:rPr>
                <w:rFonts w:ascii="Century Gothic" w:cs="Arial" w:hAnsi="Century Gothic"/>
                <w:szCs w:val="24"/>
              </w:rPr>
              <w:t>:</w:t>
            </w:r>
          </w:p>
          <w:p>
            <w:pPr>
              <w:pStyle w:val="style179"/>
              <w:numPr>
                <w:ilvl w:val="0"/>
                <w:numId w:val="4"/>
              </w:numPr>
              <w:tabs>
                <w:tab w:val="left" w:leader="none" w:pos="0"/>
              </w:tabs>
              <w:suppressAutoHyphens/>
              <w:spacing w:after="0"/>
              <w:ind w:left="567" w:hanging="283"/>
              <w:jc w:val="both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Accueil client</w:t>
            </w:r>
          </w:p>
          <w:p>
            <w:pPr>
              <w:pStyle w:val="style179"/>
              <w:numPr>
                <w:ilvl w:val="0"/>
                <w:numId w:val="4"/>
              </w:numPr>
              <w:tabs>
                <w:tab w:val="left" w:leader="none" w:pos="0"/>
              </w:tabs>
              <w:suppressAutoHyphens/>
              <w:spacing w:after="0"/>
              <w:ind w:left="567" w:hanging="283"/>
              <w:jc w:val="both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Remplir les chéquiers ;</w:t>
            </w:r>
          </w:p>
          <w:p>
            <w:pPr>
              <w:pStyle w:val="style179"/>
              <w:numPr>
                <w:ilvl w:val="0"/>
                <w:numId w:val="4"/>
              </w:numPr>
              <w:tabs>
                <w:tab w:val="left" w:leader="none" w:pos="0"/>
              </w:tabs>
              <w:suppressAutoHyphens/>
              <w:spacing w:after="0"/>
              <w:ind w:left="567" w:hanging="283"/>
              <w:jc w:val="both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 Charger d’orientation des demandes de carte bancaire et de Chéquiers ; d’Ouverture de compte</w:t>
            </w:r>
          </w:p>
          <w:p>
            <w:pPr>
              <w:pStyle w:val="style179"/>
              <w:numPr>
                <w:ilvl w:val="0"/>
                <w:numId w:val="4"/>
              </w:numPr>
              <w:tabs>
                <w:tab w:val="left" w:leader="none" w:pos="0"/>
              </w:tabs>
              <w:suppressAutoHyphens/>
              <w:spacing w:after="0"/>
              <w:ind w:left="567" w:hanging="283"/>
              <w:jc w:val="both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Remise et Domiciliation</w:t>
            </w:r>
          </w:p>
          <w:p>
            <w:pPr>
              <w:pStyle w:val="style179"/>
              <w:numPr>
                <w:ilvl w:val="0"/>
                <w:numId w:val="4"/>
              </w:numPr>
              <w:tabs>
                <w:tab w:val="left" w:leader="none" w:pos="0"/>
              </w:tabs>
              <w:suppressAutoHyphens/>
              <w:spacing w:after="0"/>
              <w:ind w:left="567" w:hanging="283"/>
              <w:jc w:val="both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Vérification des billets de banque    </w:t>
            </w:r>
          </w:p>
          <w:p>
            <w:pPr>
              <w:pStyle w:val="style0"/>
              <w:spacing w:after="0"/>
              <w:rPr>
                <w:rFonts w:ascii="Century Gothic" w:cs="Arial" w:hAnsi="Century Gothic"/>
                <w:szCs w:val="24"/>
              </w:rPr>
            </w:pPr>
            <w:r>
              <w:rPr>
                <w:rFonts w:ascii="Century Gothic" w:cs="Arial" w:hAnsi="Century Gothic"/>
                <w:b/>
                <w:szCs w:val="24"/>
              </w:rPr>
              <w:t xml:space="preserve">Janvier </w:t>
            </w:r>
            <w:r>
              <w:rPr>
                <w:rFonts w:ascii="Century Gothic" w:cs="Arial" w:hAnsi="Century Gothic"/>
                <w:b/>
                <w:szCs w:val="24"/>
              </w:rPr>
              <w:t>2016</w:t>
            </w:r>
            <w:r>
              <w:rPr>
                <w:rFonts w:ascii="Century Gothic" w:cs="Arial" w:hAnsi="Century Gothic"/>
                <w:b/>
                <w:szCs w:val="24"/>
              </w:rPr>
              <w:t xml:space="preserve"> à Février 2017</w:t>
            </w:r>
            <w:r>
              <w:rPr>
                <w:rFonts w:ascii="Century Gothic" w:cs="Arial" w:hAnsi="Century Gothic"/>
                <w:b/>
                <w:szCs w:val="24"/>
              </w:rPr>
              <w:t xml:space="preserve">: </w:t>
            </w:r>
            <w:r>
              <w:rPr>
                <w:rFonts w:ascii="Century Gothic" w:cs="Arial" w:hAnsi="Century Gothic"/>
                <w:szCs w:val="24"/>
              </w:rPr>
              <w:t>Prestataire de service</w:t>
            </w:r>
            <w:r>
              <w:rPr>
                <w:rFonts w:ascii="Century Gothic" w:cs="Arial" w:hAnsi="Century Gothic"/>
                <w:szCs w:val="24"/>
              </w:rPr>
              <w:t xml:space="preserve"> chez D</w:t>
            </w:r>
            <w:r>
              <w:rPr>
                <w:rFonts w:ascii="Century Gothic" w:cs="Arial" w:hAnsi="Century Gothic"/>
                <w:szCs w:val="24"/>
              </w:rPr>
              <w:t>EM</w:t>
            </w:r>
            <w:r>
              <w:rPr>
                <w:rFonts w:ascii="Century Gothic" w:cs="Arial" w:hAnsi="Century Gothic"/>
                <w:szCs w:val="24"/>
              </w:rPr>
              <w:t xml:space="preserve"> Transfert Compagnie, Textile et Immobilier</w:t>
            </w:r>
          </w:p>
          <w:p>
            <w:pPr>
              <w:pStyle w:val="style0"/>
              <w:spacing w:after="0"/>
              <w:rPr>
                <w:rFonts w:ascii="Century Gothic" w:cs="Arial" w:hAnsi="Century Gothic"/>
                <w:b/>
                <w:szCs w:val="24"/>
              </w:rPr>
            </w:pPr>
            <w:r>
              <w:rPr>
                <w:rFonts w:ascii="Century Gothic" w:cs="Arial" w:hAnsi="Century Gothic"/>
                <w:b/>
                <w:szCs w:val="24"/>
              </w:rPr>
              <w:t>Missions et tâches</w:t>
            </w:r>
            <w:r>
              <w:rPr>
                <w:rFonts w:ascii="Century Gothic" w:cs="Arial" w:hAnsi="Century Gothic"/>
                <w:b/>
                <w:szCs w:val="24"/>
              </w:rPr>
              <w:t> :</w:t>
            </w:r>
            <w:r>
              <w:rPr>
                <w:rFonts w:ascii="Century Gothic" w:cs="Arial" w:hAnsi="Century Gothic"/>
                <w:b/>
                <w:szCs w:val="24"/>
              </w:rPr>
              <w:t xml:space="preserve"> </w:t>
            </w:r>
          </w:p>
          <w:p>
            <w:pPr>
              <w:pStyle w:val="style179"/>
              <w:numPr>
                <w:ilvl w:val="0"/>
                <w:numId w:val="4"/>
              </w:numPr>
              <w:tabs>
                <w:tab w:val="left" w:leader="none" w:pos="0"/>
              </w:tabs>
              <w:suppressAutoHyphens/>
              <w:spacing w:after="0"/>
              <w:ind w:left="567" w:hanging="283"/>
              <w:jc w:val="both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Gestion comptable et Inventaire</w:t>
            </w:r>
          </w:p>
          <w:p>
            <w:pPr>
              <w:pStyle w:val="style179"/>
              <w:numPr>
                <w:ilvl w:val="0"/>
                <w:numId w:val="4"/>
              </w:numPr>
              <w:tabs>
                <w:tab w:val="left" w:leader="none" w:pos="0"/>
              </w:tabs>
              <w:suppressAutoHyphens/>
              <w:spacing w:after="0"/>
              <w:ind w:left="567" w:hanging="283"/>
              <w:jc w:val="both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Suivi quotidien des ventes </w:t>
            </w:r>
          </w:p>
          <w:p>
            <w:pPr>
              <w:pStyle w:val="style179"/>
              <w:numPr>
                <w:ilvl w:val="0"/>
                <w:numId w:val="4"/>
              </w:numPr>
              <w:tabs>
                <w:tab w:val="left" w:leader="none" w:pos="0"/>
              </w:tabs>
              <w:suppressAutoHyphens/>
              <w:spacing w:after="0"/>
              <w:ind w:left="567" w:hanging="283"/>
              <w:jc w:val="both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Vérifications des informations de transfert </w:t>
            </w:r>
          </w:p>
          <w:p>
            <w:pPr>
              <w:pStyle w:val="style179"/>
              <w:numPr>
                <w:ilvl w:val="0"/>
                <w:numId w:val="4"/>
              </w:numPr>
              <w:tabs>
                <w:tab w:val="left" w:leader="none" w:pos="0"/>
              </w:tabs>
              <w:suppressAutoHyphens/>
              <w:spacing w:after="0"/>
              <w:ind w:left="567" w:hanging="283"/>
              <w:jc w:val="both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Faire visiter les appartements aux clients pour une po</w:t>
            </w:r>
            <w:r>
              <w:rPr>
                <w:rFonts w:ascii="Century Gothic" w:hAnsi="Century Gothic"/>
                <w:sz w:val="20"/>
                <w:szCs w:val="18"/>
              </w:rPr>
              <w:t>tentielle négociation de contrat</w:t>
            </w:r>
          </w:p>
          <w:p>
            <w:pPr>
              <w:pStyle w:val="style179"/>
              <w:tabs>
                <w:tab w:val="left" w:leader="none" w:pos="0"/>
              </w:tabs>
              <w:suppressAutoHyphens/>
              <w:spacing w:after="0"/>
              <w:ind w:left="567"/>
              <w:jc w:val="both"/>
              <w:rPr>
                <w:rFonts w:ascii="Century Gothic" w:hAnsi="Century Gothic"/>
                <w:sz w:val="20"/>
                <w:szCs w:val="18"/>
              </w:rPr>
            </w:pPr>
          </w:p>
          <w:p>
            <w:pPr>
              <w:pStyle w:val="style179"/>
              <w:tabs>
                <w:tab w:val="left" w:leader="none" w:pos="0"/>
              </w:tabs>
              <w:suppressAutoHyphens/>
              <w:spacing w:after="0"/>
              <w:ind w:left="567"/>
              <w:jc w:val="both"/>
              <w:rPr>
                <w:rFonts w:ascii="Century Gothic" w:hAnsi="Century Gothic"/>
                <w:sz w:val="20"/>
                <w:szCs w:val="18"/>
              </w:rPr>
            </w:pPr>
          </w:p>
          <w:p>
            <w:pPr>
              <w:pStyle w:val="style179"/>
              <w:tabs>
                <w:tab w:val="left" w:leader="none" w:pos="0"/>
              </w:tabs>
              <w:suppressAutoHyphens/>
              <w:spacing w:after="0"/>
              <w:ind w:left="567"/>
              <w:jc w:val="both"/>
              <w:rPr>
                <w:rFonts w:ascii="Century Gothic" w:hAnsi="Century Gothic"/>
                <w:sz w:val="20"/>
                <w:szCs w:val="18"/>
              </w:rPr>
            </w:pPr>
          </w:p>
          <w:p>
            <w:pPr>
              <w:pStyle w:val="style0"/>
              <w:pBdr>
                <w:bottom w:val="single" w:sz="8" w:space="1" w:color="c00000"/>
              </w:pBdr>
              <w:shd w:val="clear" w:color="auto" w:fill="92d050"/>
              <w:spacing w:before="100" w:beforeAutospacing="true" w:after="100" w:afterAutospacing="true" w:lineRule="auto" w:line="240"/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fr-FR"/>
              </w:rPr>
            </w:pPr>
            <w:r>
              <w:rPr>
                <w:rFonts w:ascii="Arial" w:cs="Arial" w:eastAsia="Times New Roman" w:hAnsi="Arial"/>
                <w:b/>
                <w:bCs/>
                <w:color w:val="002060"/>
                <w:sz w:val="24"/>
                <w:szCs w:val="24"/>
                <w:lang w:eastAsia="fr-FR"/>
              </w:rPr>
              <w:t> </w:t>
            </w:r>
            <w:r>
              <w:rPr>
                <w:rFonts w:ascii="Arial" w:cs="Arial" w:eastAsia="Times New Roman" w:hAnsi="Arial"/>
                <w:b/>
                <w:bCs/>
                <w:sz w:val="24"/>
                <w:szCs w:val="24"/>
                <w:lang w:eastAsia="fr-FR"/>
              </w:rPr>
              <w:t>Études et diplômes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Century Gothic" w:cs="Arial" w:hAnsi="Century Gothic"/>
                <w:b/>
                <w:szCs w:val="24"/>
              </w:rPr>
            </w:pPr>
            <w:r>
              <w:rPr>
                <w:rFonts w:ascii="Century Gothic" w:cs="Arial" w:eastAsia="Times New Roman" w:hAnsi="Century Gothic"/>
                <w:b/>
                <w:bCs/>
                <w:szCs w:val="24"/>
                <w:lang w:eastAsia="fr-FR"/>
              </w:rPr>
              <w:t xml:space="preserve">2015-2016 : </w:t>
            </w:r>
            <w:r>
              <w:rPr>
                <w:rFonts w:ascii="Century Gothic" w:cs="Arial" w:hAnsi="Century Gothic"/>
                <w:b/>
                <w:szCs w:val="24"/>
              </w:rPr>
              <w:t>Licence Comptabilité Contrôle de Gestion et Audit</w:t>
            </w:r>
            <w:r>
              <w:rPr>
                <w:rFonts w:ascii="Century Gothic" w:cs="Arial" w:hAnsi="Century Gothic"/>
                <w:szCs w:val="24"/>
              </w:rPr>
              <w:t xml:space="preserve"> à École Supérieure de Gestion d'Informatique et de </w:t>
            </w:r>
            <w:r>
              <w:rPr>
                <w:rFonts w:ascii="Century Gothic" w:cs="Arial" w:hAnsi="Century Gothic"/>
                <w:szCs w:val="24"/>
              </w:rPr>
              <w:t>Comptabilité (</w:t>
            </w:r>
            <w:r>
              <w:rPr>
                <w:rFonts w:ascii="Century Gothic" w:cs="Arial" w:hAnsi="Century Gothic"/>
                <w:szCs w:val="24"/>
              </w:rPr>
              <w:t>ESGIC)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Century Gothic" w:cs="Arial" w:hAnsi="Century Gothic"/>
                <w:szCs w:val="24"/>
              </w:rPr>
            </w:pPr>
            <w:r>
              <w:rPr>
                <w:rFonts w:ascii="Century Gothic" w:cs="Arial" w:eastAsia="Times New Roman" w:hAnsi="Century Gothic"/>
                <w:b/>
                <w:bCs/>
                <w:szCs w:val="24"/>
                <w:lang w:eastAsia="fr-FR"/>
              </w:rPr>
              <w:t>2011 :</w:t>
            </w:r>
            <w:r>
              <w:rPr>
                <w:rFonts w:ascii="Century Gothic" w:cs="Arial" w:hAnsi="Century Gothic"/>
                <w:b/>
                <w:szCs w:val="24"/>
              </w:rPr>
              <w:t xml:space="preserve"> Baccalauréat Malien Science Biologique Terminale</w:t>
            </w:r>
            <w:r>
              <w:rPr>
                <w:rFonts w:ascii="Century Gothic" w:cs="Arial" w:hAnsi="Century Gothic"/>
                <w:szCs w:val="24"/>
              </w:rPr>
              <w:t xml:space="preserve">(SBT), au lycée </w:t>
            </w:r>
            <w:r>
              <w:rPr>
                <w:rFonts w:ascii="Century Gothic" w:cs="Arial" w:hAnsi="Century Gothic"/>
                <w:szCs w:val="24"/>
              </w:rPr>
              <w:t>Almamy</w:t>
            </w:r>
            <w:r>
              <w:rPr>
                <w:rFonts w:ascii="Century Gothic" w:cs="Arial" w:hAnsi="Century Gothic"/>
                <w:szCs w:val="24"/>
              </w:rPr>
              <w:t xml:space="preserve"> </w:t>
            </w:r>
            <w:r>
              <w:rPr>
                <w:rFonts w:ascii="Century Gothic" w:cs="Arial" w:hAnsi="Century Gothic"/>
                <w:szCs w:val="24"/>
              </w:rPr>
              <w:t>Guidio</w:t>
            </w:r>
            <w:r>
              <w:rPr>
                <w:rFonts w:ascii="Century Gothic" w:cs="Arial" w:hAnsi="Century Gothic"/>
                <w:szCs w:val="24"/>
              </w:rPr>
              <w:t xml:space="preserve"> de Ségou</w:t>
            </w:r>
          </w:p>
          <w:p>
            <w:pPr>
              <w:pStyle w:val="style0"/>
              <w:pBdr>
                <w:bottom w:val="single" w:sz="8" w:space="1" w:color="c00000"/>
              </w:pBdr>
              <w:shd w:val="clear" w:color="auto" w:fill="92d050"/>
              <w:spacing w:before="100" w:beforeAutospacing="true" w:after="100" w:afterAutospacing="true" w:lineRule="auto" w:line="240"/>
              <w:rPr>
                <w:rFonts w:ascii="Times New Roman" w:eastAsia="Times New Roman" w:hAnsi="Times New Roman"/>
                <w:sz w:val="32"/>
                <w:szCs w:val="24"/>
                <w:lang w:eastAsia="fr-FR"/>
              </w:rPr>
            </w:pPr>
            <w:r>
              <w:rPr>
                <w:rFonts w:ascii="Arial" w:cs="Arial" w:eastAsia="Times New Roman" w:hAnsi="Arial"/>
                <w:b/>
                <w:bCs/>
                <w:sz w:val="24"/>
                <w:szCs w:val="20"/>
                <w:lang w:eastAsia="fr-FR"/>
              </w:rPr>
              <w:t>Divers</w:t>
            </w:r>
          </w:p>
          <w:p>
            <w:pPr>
              <w:pStyle w:val="style179"/>
              <w:numPr>
                <w:ilvl w:val="0"/>
                <w:numId w:val="1"/>
              </w:numPr>
              <w:spacing w:after="100" w:afterAutospacing="true" w:lineRule="auto" w:line="240"/>
              <w:rPr>
                <w:rFonts w:ascii="Arial" w:cs="Arial" w:eastAsia="Times New Roman" w:hAnsi="Arial"/>
                <w:sz w:val="24"/>
                <w:szCs w:val="20"/>
                <w:lang w:eastAsia="fr-FR"/>
              </w:rPr>
            </w:pPr>
            <w:r>
              <w:rPr>
                <w:rFonts w:ascii="Arial" w:cs="Arial" w:eastAsia="Times New Roman" w:hAnsi="Arial"/>
                <w:sz w:val="24"/>
                <w:szCs w:val="20"/>
                <w:lang w:eastAsia="fr-FR"/>
              </w:rPr>
              <w:t xml:space="preserve">Lecture </w:t>
            </w:r>
          </w:p>
          <w:p>
            <w:pPr>
              <w:pStyle w:val="style179"/>
              <w:numPr>
                <w:ilvl w:val="0"/>
                <w:numId w:val="1"/>
              </w:numPr>
              <w:spacing w:after="100" w:afterAutospacing="true" w:lineRule="auto" w:line="240"/>
              <w:rPr>
                <w:rFonts w:ascii="Arial" w:cs="Arial" w:eastAsia="Times New Roman" w:hAnsi="Arial"/>
                <w:sz w:val="24"/>
                <w:szCs w:val="20"/>
                <w:lang w:eastAsia="fr-FR"/>
              </w:rPr>
            </w:pPr>
            <w:r>
              <w:rPr>
                <w:rFonts w:ascii="Arial" w:cs="Arial" w:eastAsia="Times New Roman" w:hAnsi="Arial"/>
                <w:sz w:val="24"/>
                <w:szCs w:val="20"/>
                <w:lang w:eastAsia="fr-FR"/>
              </w:rPr>
              <w:t>Musique</w:t>
            </w:r>
          </w:p>
          <w:p>
            <w:pPr>
              <w:pStyle w:val="style179"/>
              <w:numPr>
                <w:ilvl w:val="0"/>
                <w:numId w:val="1"/>
              </w:numPr>
              <w:spacing w:after="100" w:afterAutospacing="true" w:lineRule="auto" w:line="240"/>
              <w:rPr>
                <w:rFonts w:ascii="Arial" w:cs="Arial" w:eastAsia="Times New Roman" w:hAnsi="Arial"/>
                <w:sz w:val="24"/>
                <w:szCs w:val="20"/>
                <w:lang w:eastAsia="fr-FR"/>
              </w:rPr>
            </w:pPr>
            <w:r>
              <w:rPr>
                <w:rFonts w:ascii="Arial" w:cs="Arial" w:eastAsia="Times New Roman" w:hAnsi="Arial"/>
                <w:sz w:val="24"/>
                <w:szCs w:val="20"/>
                <w:lang w:eastAsia="fr-FR"/>
              </w:rPr>
              <w:t>Voyages</w:t>
            </w:r>
          </w:p>
          <w:p>
            <w:pPr>
              <w:pStyle w:val="style179"/>
              <w:numPr>
                <w:ilvl w:val="0"/>
                <w:numId w:val="1"/>
              </w:numPr>
              <w:spacing w:after="100" w:afterAutospacing="true" w:lineRule="auto" w:line="240"/>
              <w:rPr>
                <w:rFonts w:ascii="Arial" w:cs="Arial" w:eastAsia="Times New Roman" w:hAnsi="Arial"/>
                <w:sz w:val="24"/>
                <w:szCs w:val="20"/>
                <w:lang w:eastAsia="fr-FR"/>
              </w:rPr>
            </w:pPr>
            <w:r>
              <w:rPr>
                <w:rFonts w:ascii="Arial" w:cs="Arial" w:eastAsia="Times New Roman" w:hAnsi="Arial"/>
                <w:sz w:val="24"/>
                <w:szCs w:val="20"/>
                <w:lang w:eastAsia="fr-FR"/>
              </w:rPr>
              <w:t xml:space="preserve">Sport </w:t>
            </w:r>
          </w:p>
          <w:p>
            <w:pPr>
              <w:pStyle w:val="style0"/>
              <w:pBdr>
                <w:bottom w:val="single" w:sz="8" w:space="1" w:color="c00000"/>
              </w:pBdr>
              <w:spacing w:before="100" w:beforeAutospacing="true" w:after="100" w:afterAutospacing="true" w:lineRule="auto" w:line="24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Arial" w:cs="Arial" w:eastAsia="Times New Roman" w:hAnsi="Arial"/>
                <w:b/>
                <w:bCs/>
                <w:color w:val="c00000"/>
                <w:sz w:val="20"/>
                <w:szCs w:val="20"/>
                <w:lang w:eastAsia="fr-FR"/>
              </w:rPr>
              <w:t> </w:t>
            </w:r>
          </w:p>
        </w:tc>
      </w:tr>
    </w:tbl>
    <w:p>
      <w:pPr>
        <w:pStyle w:val="style0"/>
        <w:rPr/>
      </w:pPr>
    </w:p>
    <w:sectPr>
      <w:headerReference w:type="default" r:id="rId2"/>
      <w:pgSz w:w="11906" w:h="16838" w:orient="portrait"/>
      <w:pgMar w:top="426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002020204"/>
    <w:charset w:val="00"/>
    <w:family w:val="swiss"/>
    <w:pitch w:val="variable"/>
    <w:sig w:usb0="00000687" w:usb1="00000000" w:usb2="00000000" w:usb3="00000000" w:csb0="0000009F" w:csb1="00000000"/>
  </w:font>
  <w:font w:name="Century Gothic">
    <w:altName w:val="Century Gothic"/>
    <w:panose1 w:val="020b05020200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1"/>
      <w:rPr/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4098" type="#_x0000_t202" fillcolor="white" stroked="f" style="position:absolute;margin-left:-3.0pt;margin-top:21.0pt;width:2.25pt;height:27.0pt;z-index:2;mso-position-horizontal-relative:text;mso-position-vertical-relative:text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style="mso-layout-flow-alt:bottom-to-top;">
            <w:txbxContent>
              <w:p>
                <w:pPr>
                  <w:pStyle w:val="style0"/>
                  <w:rPr>
                    <w:color w:val="ffffff"/>
                  </w:rPr>
                </w:pPr>
                <w:r>
                  <w:rPr/>
                  <w:fldChar w:fldCharType="begin"/>
                </w:r>
                <w:r>
                  <w:instrText xml:space="preserve"> HYPERLINK "http://www.semantis.fr" </w:instrText>
                </w:r>
                <w:r>
                  <w:rPr/>
                  <w:fldChar w:fldCharType="separate"/>
                </w:r>
                <w:r>
                  <w:rPr>
                    <w:rStyle w:val="style85"/>
                    <w:color w:val="ffffff"/>
                  </w:rPr>
                  <w:t>www.semantis.fr</w:t>
                </w:r>
                <w:r>
                  <w:rPr/>
                  <w:fldChar w:fldCharType="end"/>
                </w:r>
                <w:r>
                  <w:rPr>
                    <w:color w:val="ffffff"/>
                  </w:rPr>
                  <w:t xml:space="preserve"> 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6F8A3F0"/>
    <w:lvl w:ilvl="0" w:tplc="8E1C5550">
      <w:start w:val="1"/>
      <w:numFmt w:val="bullet"/>
      <w:lvlText w:val="-"/>
      <w:lvlJc w:val="left"/>
      <w:pPr>
        <w:ind w:left="502" w:hanging="360"/>
      </w:pPr>
      <w:rPr>
        <w:rFonts w:ascii="Arial" w:cs="Arial" w:eastAsia="Times New Roman" w:hAnsi="Arial" w:hint="default"/>
        <w:b w:val="false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C6CC09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0000002"/>
    <w:multiLevelType w:val="hybridMultilevel"/>
    <w:tmpl w:val="9724E678"/>
    <w:lvl w:ilvl="0" w:tplc="3E3E51EE">
      <w:start w:val="2014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F184A34"/>
    <w:lvl w:ilvl="0" w:tplc="73EA51A8">
      <w:start w:val="2"/>
      <w:numFmt w:val="bullet"/>
      <w:lvlText w:val="-"/>
      <w:lvlJc w:val="left"/>
      <w:pPr>
        <w:ind w:left="0" w:firstLine="0"/>
      </w:pPr>
      <w:rPr>
        <w:rFonts w:ascii="Arial" w:cs="Arial" w:eastAsia="Times New Roman" w:hAnsi="Arial" w:hint="default"/>
      </w:rPr>
    </w:lvl>
    <w:lvl w:ilvl="1" w:tplc="04090003">
      <w:start w:val="1"/>
      <w:numFmt w:val="decimal"/>
      <w:lvlText w:val=""/>
      <w:lvlJc w:val="left"/>
      <w:pPr>
        <w:ind w:left="0" w:firstLine="0"/>
      </w:pPr>
    </w:lvl>
    <w:lvl w:ilvl="2" w:tplc="04090005">
      <w:start w:val="1"/>
      <w:numFmt w:val="decimal"/>
      <w:lvlText w:val=""/>
      <w:lvlJc w:val="left"/>
      <w:pPr>
        <w:ind w:left="0" w:firstLine="0"/>
      </w:pPr>
    </w:lvl>
    <w:lvl w:ilvl="3" w:tplc="04090001">
      <w:start w:val="1"/>
      <w:numFmt w:val="decimal"/>
      <w:lvlText w:val=""/>
      <w:lvlJc w:val="left"/>
      <w:pPr>
        <w:ind w:left="0" w:firstLine="0"/>
      </w:pPr>
    </w:lvl>
    <w:lvl w:ilvl="4" w:tplc="04090003">
      <w:start w:val="1"/>
      <w:numFmt w:val="decimal"/>
      <w:lvlText w:val=""/>
      <w:lvlJc w:val="left"/>
      <w:pPr>
        <w:ind w:left="0" w:firstLine="0"/>
      </w:pPr>
    </w:lvl>
    <w:lvl w:ilvl="5" w:tplc="04090005">
      <w:start w:val="1"/>
      <w:numFmt w:val="decimal"/>
      <w:lvlText w:val=""/>
      <w:lvlJc w:val="left"/>
      <w:pPr>
        <w:ind w:left="0" w:firstLine="0"/>
      </w:pPr>
    </w:lvl>
    <w:lvl w:ilvl="6" w:tplc="04090001">
      <w:start w:val="1"/>
      <w:numFmt w:val="decimal"/>
      <w:lvlText w:val=""/>
      <w:lvlJc w:val="left"/>
      <w:pPr>
        <w:ind w:left="0" w:firstLine="0"/>
      </w:pPr>
    </w:lvl>
    <w:lvl w:ilvl="7" w:tplc="04090003">
      <w:start w:val="1"/>
      <w:numFmt w:val="decimal"/>
      <w:lvlText w:val=""/>
      <w:lvlJc w:val="left"/>
      <w:pPr>
        <w:ind w:left="0" w:firstLine="0"/>
      </w:pPr>
    </w:lvl>
    <w:lvl w:ilvl="8" w:tplc="04090005">
      <w:start w:val="1"/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="Calibri" w:cs="Times New Roman" w:eastAsia="Calibri" w:hAnsi="Calibri"/>
        <w:lang w:val="fr-FR" w:bidi="ar-SA" w:eastAsia="fr-FR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  <w:lang w:eastAsia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Texte de bulles C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0" w:lineRule="auto" w:line="240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style31">
    <w:name w:val="header"/>
    <w:basedOn w:val="style0"/>
    <w:next w:val="style31"/>
    <w:pPr>
      <w:tabs>
        <w:tab w:val="center" w:leader="none" w:pos="4536"/>
        <w:tab w:val="right" w:leader="none" w:pos="9072"/>
      </w:tabs>
    </w:pPr>
    <w:rPr/>
  </w:style>
  <w:style w:type="paragraph" w:styleId="style32">
    <w:name w:val="footer"/>
    <w:basedOn w:val="style0"/>
    <w:next w:val="style32"/>
    <w:pPr>
      <w:tabs>
        <w:tab w:val="center" w:leader="none" w:pos="4536"/>
        <w:tab w:val="right" w:leader="none" w:pos="9072"/>
      </w:tabs>
    </w:pPr>
    <w:rPr/>
  </w:style>
  <w:style w:type="character" w:styleId="style85">
    <w:name w:val="Hyperlink"/>
    <w:basedOn w:val="style65"/>
    <w:next w:val="style85"/>
    <w:rPr>
      <w:color w:val="0000ff"/>
      <w:u w:val="single"/>
    </w:rPr>
  </w:style>
  <w:style w:type="paragraph" w:customStyle="1" w:styleId="style4098">
    <w:name w:val="Default"/>
    <w:next w:val="style4098"/>
    <w:pPr>
      <w:autoSpaceDE w:val="false"/>
      <w:autoSpaceDN w:val="false"/>
      <w:adjustRightInd w:val="false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style179">
    <w:name w:val="List Paragraph"/>
    <w:basedOn w:val="style0"/>
    <w:next w:val="style179"/>
    <w:link w:val="style4099"/>
    <w:qFormat/>
    <w:uiPriority w:val="34"/>
    <w:pPr>
      <w:ind w:left="720"/>
      <w:contextualSpacing/>
    </w:pPr>
    <w:rPr/>
  </w:style>
  <w:style w:type="character" w:customStyle="1" w:styleId="style4099">
    <w:name w:val="Paragraphe de liste Car"/>
    <w:next w:val="style4099"/>
    <w:link w:val="style179"/>
    <w:uiPriority w:val="34"/>
    <w:rPr>
      <w:sz w:val="22"/>
      <w:szCs w:val="22"/>
      <w:lang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449</Words>
  <Characters>2495</Characters>
  <Application>WPS Office</Application>
  <DocSecurity>0</DocSecurity>
  <Paragraphs>76</Paragraphs>
  <ScaleCrop>false</ScaleCrop>
  <Company>Microsoft</Company>
  <LinksUpToDate>false</LinksUpToDate>
  <CharactersWithSpaces>2906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2022-05-13T22:42:12Z</dcterms:created>
  <dc:creator>Claude DEMBELE</dc:creator>
  <lastModifiedBy>SM-A105F</lastModifiedBy>
  <lastPrinted>2016-07-14T16:01:00Z</lastPrinted>
  <dcterms:modified xsi:type="dcterms:W3CDTF">2022-05-13T22:42:12Z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