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1f497d"/>
        <w:rPr>
          <w:rFonts w:ascii="Algerian" w:hAnsi="Algerian"/>
          <w:b/>
          <w:sz w:val="40"/>
          <w:szCs w:val="40"/>
          <w:lang w:val="en-US"/>
        </w:rPr>
      </w:pPr>
      <w:r>
        <w:rPr>
          <w:rFonts w:ascii="Algerian" w:hAnsi="Algerian"/>
          <w:lang w:val="en-US"/>
        </w:rPr>
        <w:t xml:space="preserve">                                        </w:t>
      </w:r>
      <w:r>
        <w:rPr>
          <w:rFonts w:ascii="Algerian" w:hAnsi="Algerian"/>
          <w:b/>
          <w:sz w:val="40"/>
          <w:szCs w:val="40"/>
          <w:shd w:val="clear" w:color="auto" w:fill="000000"/>
          <w:lang w:val="en-US"/>
        </w:rPr>
        <w:t>Curriculum vitae</w:t>
      </w: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  <w:r>
        <w:rPr>
          <w:rFonts w:ascii="Blackadder ITC" w:hAnsi="Blackadder ITC"/>
          <w:b/>
          <w:sz w:val="40"/>
          <w:szCs w:val="40"/>
          <w:u w:val="single"/>
          <w:lang w:val="en-US"/>
        </w:rPr>
        <w:t>Nom</w:t>
      </w:r>
      <w:r>
        <w:rPr>
          <w:b/>
          <w:sz w:val="40"/>
          <w:szCs w:val="40"/>
          <w:lang w:val="en-US"/>
        </w:rPr>
        <w:t>:</w:t>
      </w:r>
      <w:r>
        <w:rPr>
          <w:b/>
          <w:lang w:val="en-US"/>
        </w:rPr>
        <w:t xml:space="preserve">                                                                             </w:t>
      </w:r>
      <w:r>
        <w:rPr>
          <w:lang w:val="en-US"/>
        </w:rPr>
        <w:t>Mohamed Yehia Ag</w:t>
      </w:r>
    </w:p>
    <w:p>
      <w:pPr>
        <w:pStyle w:val="style0"/>
        <w:rPr>
          <w:b/>
        </w:rPr>
      </w:pPr>
      <w:r>
        <w:rPr>
          <w:rFonts w:ascii="Blackadder ITC" w:hAnsi="Blackadder ITC"/>
          <w:b/>
          <w:sz w:val="40"/>
          <w:szCs w:val="40"/>
          <w:u w:val="single"/>
        </w:rPr>
        <w:t>Prénom</w:t>
      </w:r>
      <w:r>
        <w:rPr>
          <w:b/>
          <w:sz w:val="40"/>
          <w:szCs w:val="40"/>
        </w:rPr>
        <w:t>:</w:t>
      </w:r>
      <w:r>
        <w:rPr>
          <w:b/>
        </w:rPr>
        <w:t xml:space="preserve">                                                                    </w:t>
      </w:r>
      <w:r>
        <w:t>Mohamed Attaher</w:t>
      </w:r>
      <w:r>
        <w:rPr>
          <w:b/>
        </w:rPr>
        <w:t xml:space="preserve">    </w:t>
      </w:r>
    </w:p>
    <w:p>
      <w:pPr>
        <w:pStyle w:val="style0"/>
        <w:rPr>
          <w:b/>
        </w:rPr>
      </w:pPr>
      <w:r>
        <w:rPr>
          <w:rFonts w:ascii="Blackadder ITC" w:hAnsi="Blackadder ITC"/>
          <w:b/>
          <w:sz w:val="40"/>
          <w:szCs w:val="40"/>
          <w:u w:val="single"/>
        </w:rPr>
        <w:t>Date</w:t>
      </w:r>
      <w:r>
        <w:rPr>
          <w:rFonts w:ascii="Blackadder ITC" w:hAnsi="Blackadder ITC"/>
          <w:b/>
          <w:sz w:val="40"/>
          <w:szCs w:val="40"/>
          <w:u w:val="single"/>
        </w:rPr>
        <w:t xml:space="preserve"> et lieu de naissance</w:t>
      </w:r>
      <w:r>
        <w:rPr>
          <w:b/>
        </w:rPr>
        <w:t xml:space="preserve"> :                          </w:t>
      </w:r>
      <w:r>
        <w:t>Vers 1991 à Zin Zin</w:t>
      </w:r>
    </w:p>
    <w:p>
      <w:pPr>
        <w:pStyle w:val="style0"/>
        <w:rPr>
          <w:b/>
        </w:rPr>
      </w:pPr>
      <w:r>
        <w:rPr>
          <w:rFonts w:ascii="Blackadder ITC" w:hAnsi="Blackadder ITC"/>
          <w:b/>
          <w:sz w:val="40"/>
          <w:szCs w:val="40"/>
          <w:u w:val="single"/>
        </w:rPr>
        <w:t>Situation matrimoniale</w:t>
      </w:r>
      <w:r>
        <w:rPr>
          <w:b/>
          <w:sz w:val="40"/>
          <w:szCs w:val="40"/>
          <w:u w:val="single"/>
        </w:rPr>
        <w:t> </w:t>
      </w:r>
      <w:r>
        <w:rPr>
          <w:b/>
        </w:rPr>
        <w:t xml:space="preserve">:                            </w:t>
      </w:r>
      <w:r>
        <w:t xml:space="preserve">Marié </w:t>
      </w:r>
      <w:r>
        <w:rPr>
          <w:lang w:val="en-US"/>
        </w:rPr>
        <w:t>et père de 2 enfants</w:t>
      </w:r>
    </w:p>
    <w:p>
      <w:pPr>
        <w:pStyle w:val="style0"/>
        <w:rPr>
          <w:b/>
        </w:rPr>
      </w:pPr>
      <w:r>
        <w:rPr>
          <w:rFonts w:ascii="Blackadder ITC" w:hAnsi="Blackadder ITC"/>
          <w:b/>
          <w:sz w:val="40"/>
          <w:szCs w:val="40"/>
          <w:u w:val="single"/>
        </w:rPr>
        <w:t>Adresse</w:t>
      </w:r>
      <w:r>
        <w:rPr>
          <w:rFonts w:ascii="Blackadder ITC" w:hAnsi="Blackadder ITC"/>
          <w:b/>
          <w:sz w:val="40"/>
          <w:szCs w:val="40"/>
        </w:rPr>
        <w:t> </w:t>
      </w:r>
      <w:r>
        <w:rPr>
          <w:b/>
        </w:rPr>
        <w:t xml:space="preserve">:                                                             </w:t>
      </w:r>
      <w:r>
        <w:t>Zinzin (cercle de Goundam/Tombouctou</w:t>
      </w:r>
    </w:p>
    <w:p>
      <w:pPr>
        <w:pStyle w:val="style0"/>
        <w:tabs>
          <w:tab w:val="left" w:leader="none" w:pos="2355"/>
        </w:tabs>
        <w:spacing w:before="240"/>
        <w:rPr>
          <w:b/>
        </w:rPr>
      </w:pPr>
      <w:r>
        <w:rPr>
          <w:rFonts w:ascii="Blackadder ITC" w:hAnsi="Blackadder ITC"/>
          <w:b/>
          <w:sz w:val="40"/>
          <w:szCs w:val="40"/>
          <w:u w:val="single"/>
        </w:rPr>
        <w:t>Email</w:t>
      </w:r>
      <w:r>
        <w:rPr>
          <w:rFonts w:ascii="Blackadder ITC" w:hAnsi="Blackadder ITC"/>
          <w:b/>
          <w:sz w:val="40"/>
          <w:szCs w:val="40"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 xml:space="preserve">         </w:t>
      </w:r>
      <w:r>
        <w:rPr>
          <w:b/>
        </w:rPr>
        <w:t xml:space="preserve">                                   </w:t>
      </w:r>
      <w:r>
        <w:t>zinzinakalin@gmail.com</w:t>
      </w:r>
    </w:p>
    <w:p>
      <w:pPr>
        <w:pStyle w:val="style0"/>
        <w:tabs>
          <w:tab w:val="left" w:leader="none" w:pos="2355"/>
        </w:tabs>
        <w:rPr/>
      </w:pPr>
      <w:r>
        <w:rPr>
          <w:rFonts w:ascii="Blackadder ITC" w:hAnsi="Blackadder ITC"/>
          <w:b/>
          <w:sz w:val="40"/>
          <w:szCs w:val="40"/>
          <w:u w:val="single"/>
        </w:rPr>
        <w:t>Contacte</w:t>
      </w:r>
      <w:r>
        <w:rPr>
          <w:b/>
        </w:rPr>
        <w:t> :</w:t>
      </w:r>
      <w:r>
        <w:rPr>
          <w:b/>
        </w:rPr>
        <w:tab/>
      </w:r>
      <w:r>
        <w:rPr>
          <w:b/>
        </w:rPr>
        <w:t xml:space="preserve">                                            </w:t>
      </w:r>
      <w:r>
        <w:t>94481228 / 99085031</w:t>
      </w:r>
    </w:p>
    <w:p>
      <w:pPr>
        <w:pStyle w:val="style0"/>
        <w:rPr>
          <w:b/>
        </w:rPr>
      </w:pPr>
    </w:p>
    <w:p>
      <w:pPr>
        <w:pStyle w:val="style0"/>
        <w:jc w:val="center"/>
        <w:rPr>
          <w:rFonts w:ascii="Algerian" w:hAnsi="Algerian"/>
          <w:b/>
          <w:sz w:val="44"/>
          <w:szCs w:val="44"/>
          <w:u w:val="single"/>
        </w:rPr>
      </w:pPr>
      <w:r>
        <w:rPr>
          <w:rFonts w:ascii="Algerian" w:hAnsi="Algerian"/>
          <w:b/>
          <w:sz w:val="44"/>
          <w:szCs w:val="44"/>
          <w:u w:val="single"/>
          <w:shd w:val="clear" w:color="auto" w:fill="000000"/>
        </w:rPr>
        <w:t>ETUDEs et diplômes obtenus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251"/>
        <w:gridCol w:w="4273"/>
      </w:tblGrid>
      <w:tr>
        <w:trPr/>
        <w:tc>
          <w:tcPr>
            <w:tcW w:w="4583" w:type="dxa"/>
            <w:tcBorders/>
          </w:tcPr>
          <w:p>
            <w:pPr>
              <w:pStyle w:val="style179"/>
              <w:ind w:left="0"/>
              <w:rPr>
                <w:b/>
              </w:rPr>
            </w:pPr>
            <w:r>
              <w:rPr>
                <w:b/>
              </w:rPr>
              <w:t>Diplômes</w:t>
            </w:r>
          </w:p>
        </w:tc>
        <w:tc>
          <w:tcPr>
            <w:tcW w:w="4584" w:type="dxa"/>
            <w:tcBorders/>
          </w:tcPr>
          <w:p>
            <w:pPr>
              <w:pStyle w:val="style179"/>
              <w:tabs>
                <w:tab w:val="left" w:leader="none" w:pos="1245"/>
              </w:tabs>
              <w:ind w:left="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>Etablissements</w:t>
            </w:r>
          </w:p>
        </w:tc>
      </w:tr>
      <w:tr>
        <w:tblPrEx/>
        <w:trPr/>
        <w:tc>
          <w:tcPr>
            <w:tcW w:w="4583" w:type="dxa"/>
            <w:tcBorders/>
          </w:tcPr>
          <w:p>
            <w:pPr>
              <w:pStyle w:val="style179"/>
              <w:ind w:left="0"/>
              <w:rPr/>
            </w:pPr>
            <w:r>
              <w:t>Baccalauréat</w:t>
            </w:r>
          </w:p>
        </w:tc>
        <w:tc>
          <w:tcPr>
            <w:tcW w:w="4584" w:type="dxa"/>
            <w:tcBorders/>
          </w:tcPr>
          <w:p>
            <w:pPr>
              <w:pStyle w:val="style179"/>
              <w:ind w:left="0"/>
              <w:rPr/>
            </w:pPr>
            <w:r>
              <w:t>Lycée de M’Berra (Camp des Réfugiés)</w:t>
            </w:r>
          </w:p>
        </w:tc>
      </w:tr>
      <w:tr>
        <w:tblPrEx/>
        <w:trPr/>
        <w:tc>
          <w:tcPr>
            <w:tcW w:w="4583" w:type="dxa"/>
            <w:tcBorders/>
          </w:tcPr>
          <w:p>
            <w:pPr>
              <w:pStyle w:val="style179"/>
              <w:ind w:left="0"/>
              <w:rPr/>
            </w:pPr>
            <w:r>
              <w:t xml:space="preserve">Brevet de </w:t>
            </w:r>
            <w:r>
              <w:t>Technicien Comptabilité BT2</w:t>
            </w:r>
          </w:p>
        </w:tc>
        <w:tc>
          <w:tcPr>
            <w:tcW w:w="4584" w:type="dxa"/>
            <w:tcBorders/>
          </w:tcPr>
          <w:p>
            <w:pPr>
              <w:pStyle w:val="style179"/>
              <w:ind w:left="0"/>
              <w:rPr/>
            </w:pPr>
            <w:r>
              <w:t>IFP de Diré</w:t>
            </w:r>
          </w:p>
        </w:tc>
      </w:tr>
      <w:tr>
        <w:tblPrEx/>
        <w:trPr/>
        <w:tc>
          <w:tcPr>
            <w:tcW w:w="4583" w:type="dxa"/>
            <w:tcBorders/>
          </w:tcPr>
          <w:p>
            <w:pPr>
              <w:pStyle w:val="style179"/>
              <w:ind w:left="0"/>
              <w:rPr/>
            </w:pPr>
            <w:r>
              <w:t>Brevet de Technicien Comptabilité BT1</w:t>
            </w:r>
          </w:p>
        </w:tc>
        <w:tc>
          <w:tcPr>
            <w:tcW w:w="4584" w:type="dxa"/>
            <w:tcBorders/>
          </w:tcPr>
          <w:p>
            <w:pPr>
              <w:pStyle w:val="style179"/>
              <w:ind w:left="0"/>
              <w:rPr/>
            </w:pPr>
            <w:r>
              <w:t>IFP de Diré</w:t>
            </w:r>
          </w:p>
        </w:tc>
      </w:tr>
      <w:tr>
        <w:tblPrEx/>
        <w:trPr/>
        <w:tc>
          <w:tcPr>
            <w:tcW w:w="4583" w:type="dxa"/>
            <w:tcBorders/>
          </w:tcPr>
          <w:p>
            <w:pPr>
              <w:pStyle w:val="style179"/>
              <w:ind w:left="0"/>
              <w:rPr/>
            </w:pPr>
            <w:r>
              <w:t>Diplôme d’étude fondamentale (DEF)</w:t>
            </w:r>
          </w:p>
        </w:tc>
        <w:tc>
          <w:tcPr>
            <w:tcW w:w="4584" w:type="dxa"/>
            <w:tcBorders/>
          </w:tcPr>
          <w:p>
            <w:pPr>
              <w:pStyle w:val="style179"/>
              <w:ind w:left="0"/>
              <w:rPr/>
            </w:pPr>
            <w:r>
              <w:t>Ecole Fondamentale Youba Bakary Sidibé de Goundam</w:t>
            </w:r>
          </w:p>
        </w:tc>
      </w:tr>
    </w:tbl>
    <w:p>
      <w:pPr>
        <w:pStyle w:val="style179"/>
        <w:tabs>
          <w:tab w:val="left" w:leader="none" w:pos="7455"/>
        </w:tabs>
        <w:rPr>
          <w:b/>
        </w:rPr>
      </w:pPr>
      <w:r>
        <w:rPr>
          <w:b/>
        </w:rPr>
        <w:tab/>
      </w:r>
    </w:p>
    <w:p>
      <w:pPr>
        <w:pStyle w:val="style179"/>
        <w:tabs>
          <w:tab w:val="left" w:leader="none" w:pos="7455"/>
        </w:tabs>
        <w:jc w:val="center"/>
        <w:rPr>
          <w:rFonts w:ascii="Algerian" w:hAnsi="Algerian"/>
          <w:b/>
          <w:color w:val="ffffff"/>
          <w:sz w:val="44"/>
          <w:szCs w:val="44"/>
          <w:u w:val="single"/>
        </w:rPr>
      </w:pPr>
      <w:r>
        <w:rPr>
          <w:rFonts w:ascii="Algerian" w:hAnsi="Algerian"/>
          <w:b/>
          <w:color w:val="ffffff"/>
          <w:sz w:val="44"/>
          <w:szCs w:val="44"/>
          <w:highlight w:val="black"/>
          <w:u w:val="single"/>
        </w:rPr>
        <w:t>AUTRES FORMATIONS</w:t>
      </w:r>
    </w:p>
    <w:p>
      <w:pPr>
        <w:pStyle w:val="style0"/>
        <w:rPr/>
      </w:pPr>
      <w:r>
        <w:t>Du 26 au 27 Décembre 2019 : Participation à la formation sur l’Elevage de la chèvre organisée par APROMORS – Tombouctou</w:t>
      </w:r>
    </w:p>
    <w:p>
      <w:pPr>
        <w:pStyle w:val="style0"/>
        <w:rPr/>
      </w:pPr>
      <w:r>
        <w:t xml:space="preserve">Du 23 au 24 Décembre 2019 : </w:t>
      </w:r>
      <w:r>
        <w:t xml:space="preserve">Participation à la formation sur </w:t>
      </w:r>
      <w:r>
        <w:t xml:space="preserve">la Communication pour </w:t>
      </w:r>
      <w:r>
        <w:t>le</w:t>
      </w:r>
      <w:r>
        <w:t xml:space="preserve"> Changement</w:t>
      </w:r>
      <w:r>
        <w:t xml:space="preserve"> de</w:t>
      </w:r>
      <w:r>
        <w:t xml:space="preserve"> Comportement</w:t>
      </w:r>
      <w:r>
        <w:t xml:space="preserve"> organisée par APROMORS – Tombouctou</w:t>
      </w:r>
    </w:p>
    <w:p>
      <w:pPr>
        <w:pStyle w:val="style0"/>
        <w:rPr/>
      </w:pPr>
      <w:r>
        <w:t xml:space="preserve">2017 Formation en Technique de maraîchage (FAO) </w:t>
      </w:r>
    </w:p>
    <w:p>
      <w:pPr>
        <w:pStyle w:val="style0"/>
        <w:rPr/>
      </w:pPr>
      <w:r>
        <w:t>2017 Form</w:t>
      </w:r>
      <w:r>
        <w:t>ation en Nutrition (FAO)</w:t>
      </w:r>
    </w:p>
    <w:p>
      <w:pPr>
        <w:pStyle w:val="style0"/>
        <w:tabs>
          <w:tab w:val="left" w:leader="none" w:pos="2745"/>
        </w:tabs>
        <w:rPr/>
      </w:pPr>
      <w:r>
        <w:t xml:space="preserve">2016 Formation en gestion de qualité des vivres, gestion des stocks et des entrepôts, suivi et rapportage (PAM) </w:t>
      </w:r>
    </w:p>
    <w:p>
      <w:pPr>
        <w:pStyle w:val="style0"/>
        <w:tabs>
          <w:tab w:val="left" w:leader="none" w:pos="2745"/>
        </w:tabs>
        <w:rPr/>
      </w:pPr>
      <w:r>
        <w:t>2016 Formation des jeunes en  embouche (APJ)</w:t>
      </w:r>
    </w:p>
    <w:p>
      <w:pPr>
        <w:pStyle w:val="style0"/>
        <w:tabs>
          <w:tab w:val="left" w:leader="none" w:pos="2745"/>
        </w:tabs>
        <w:rPr/>
      </w:pPr>
      <w:r>
        <w:rPr>
          <w:b/>
        </w:rPr>
        <w:t xml:space="preserve"> </w:t>
      </w:r>
      <w:r>
        <w:t>2014 Formation de pairs éducateur sur les compétences de vie courante(CV</w:t>
      </w:r>
      <w:r>
        <w:t>C) animé par L’ONG/ESD et Unicef.</w:t>
      </w:r>
    </w:p>
    <w:p>
      <w:pPr>
        <w:pStyle w:val="style0"/>
        <w:tabs>
          <w:tab w:val="left" w:leader="none" w:pos="2745"/>
        </w:tabs>
        <w:rPr/>
      </w:pPr>
      <w:r>
        <w:t>2009 Formation en Informatique Word et Excel/IFP</w:t>
      </w:r>
    </w:p>
    <w:p>
      <w:pPr>
        <w:pStyle w:val="style0"/>
        <w:tabs>
          <w:tab w:val="left" w:leader="none" w:pos="2964"/>
        </w:tabs>
        <w:jc w:val="center"/>
        <w:rPr>
          <w:rFonts w:ascii="Algerian" w:hAnsi="Algerian"/>
          <w:b/>
          <w:sz w:val="44"/>
          <w:szCs w:val="44"/>
          <w:u w:val="single"/>
        </w:rPr>
      </w:pPr>
      <w:r>
        <w:rPr>
          <w:rFonts w:ascii="Algerian" w:hAnsi="Algerian"/>
          <w:b/>
          <w:sz w:val="44"/>
          <w:szCs w:val="44"/>
          <w:u w:val="single"/>
          <w:shd w:val="clear" w:color="auto" w:fill="000000"/>
        </w:rPr>
        <w:t>Expérience professionnelles</w:t>
      </w:r>
      <w: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2964"/>
        </w:tabs>
        <w:rPr/>
      </w:pPr>
      <w:r>
        <w:rPr>
          <w:lang w:val="en-US"/>
        </w:rPr>
        <w:t>Prestateur à NRC (distribution des kits scolaires dans le cercle de Goundam)en février 2021</w:t>
      </w:r>
    </w:p>
    <w:p>
      <w:pPr>
        <w:pStyle w:val="style179"/>
        <w:numPr>
          <w:ilvl w:val="0"/>
          <w:numId w:val="1"/>
        </w:numPr>
        <w:tabs>
          <w:tab w:val="left" w:leader="none" w:pos="2964"/>
        </w:tabs>
        <w:rPr/>
      </w:pPr>
      <w:r>
        <w:t xml:space="preserve">Enquêteur sur le Projet Monitorage – LQAS des activités de la journée nationale de la vaccination dans la Région de Taoudéni </w:t>
      </w:r>
      <w:r>
        <w:t>au compte de IEDA-Rélief</w:t>
      </w:r>
      <w:bookmarkStart w:id="0" w:name="_GoBack"/>
      <w:bookmarkEnd w:id="0"/>
    </w:p>
    <w:p>
      <w:pPr>
        <w:pStyle w:val="style179"/>
        <w:numPr>
          <w:ilvl w:val="0"/>
          <w:numId w:val="1"/>
        </w:numPr>
        <w:tabs>
          <w:tab w:val="left" w:leader="none" w:pos="2964"/>
        </w:tabs>
        <w:rPr>
          <w:b/>
        </w:rPr>
      </w:pPr>
      <w:r>
        <w:t>Agent de Développement Communautaire ADC APROMORS/FAO Janvier 2018 à Décembre 2018 dans les communes de : (Douékiré et Kaneye)</w:t>
      </w:r>
    </w:p>
    <w:p>
      <w:pPr>
        <w:pStyle w:val="style179"/>
        <w:numPr>
          <w:ilvl w:val="0"/>
          <w:numId w:val="13"/>
        </w:numPr>
        <w:autoSpaceDE w:val="false"/>
        <w:autoSpaceDN w:val="false"/>
        <w:adjustRightInd w:val="false"/>
        <w:spacing w:after="0" w:lineRule="auto" w:line="240"/>
        <w:rPr/>
      </w:pPr>
      <w:r>
        <w:t xml:space="preserve">Mise en place </w:t>
      </w:r>
      <w:r>
        <w:t>de comité de suivi et validation communal</w:t>
      </w:r>
    </w:p>
    <w:p>
      <w:pPr>
        <w:pStyle w:val="style179"/>
        <w:numPr>
          <w:ilvl w:val="0"/>
          <w:numId w:val="13"/>
        </w:numPr>
        <w:autoSpaceDE w:val="false"/>
        <w:autoSpaceDN w:val="false"/>
        <w:adjustRightInd w:val="false"/>
        <w:spacing w:after="0" w:lineRule="auto" w:line="240"/>
        <w:rPr/>
      </w:pPr>
      <w:r>
        <w:t>Mise en place de comité de suivi et validation villageois</w:t>
      </w:r>
    </w:p>
    <w:p>
      <w:pPr>
        <w:pStyle w:val="style179"/>
        <w:numPr>
          <w:ilvl w:val="0"/>
          <w:numId w:val="13"/>
        </w:numPr>
        <w:autoSpaceDE w:val="false"/>
        <w:autoSpaceDN w:val="false"/>
        <w:adjustRightInd w:val="false"/>
        <w:spacing w:after="0" w:lineRule="auto" w:line="240"/>
        <w:rPr/>
      </w:pPr>
      <w:r>
        <w:t xml:space="preserve">Identification des ménages éligibles aux critères de choix </w:t>
      </w:r>
    </w:p>
    <w:p>
      <w:pPr>
        <w:pStyle w:val="style179"/>
        <w:numPr>
          <w:ilvl w:val="0"/>
          <w:numId w:val="13"/>
        </w:numPr>
        <w:autoSpaceDE w:val="false"/>
        <w:autoSpaceDN w:val="false"/>
        <w:adjustRightInd w:val="false"/>
        <w:spacing w:after="0" w:lineRule="auto" w:line="240"/>
        <w:rPr/>
      </w:pPr>
      <w:r>
        <w:t>Dotation des ménages bénéficiaires en semence, intrant et petits ruminants (chèvres)</w:t>
      </w:r>
    </w:p>
    <w:p>
      <w:pPr>
        <w:pStyle w:val="style179"/>
        <w:numPr>
          <w:ilvl w:val="0"/>
          <w:numId w:val="13"/>
        </w:numPr>
        <w:autoSpaceDE w:val="false"/>
        <w:autoSpaceDN w:val="false"/>
        <w:adjustRightInd w:val="false"/>
        <w:spacing w:after="0" w:lineRule="auto" w:line="240"/>
        <w:rPr/>
      </w:pPr>
      <w:r>
        <w:t>Réhabilitat</w:t>
      </w:r>
      <w:r>
        <w:t>ion des jardins maraîchers</w:t>
      </w:r>
    </w:p>
    <w:p>
      <w:pPr>
        <w:pStyle w:val="style179"/>
        <w:numPr>
          <w:ilvl w:val="0"/>
          <w:numId w:val="13"/>
        </w:numPr>
        <w:autoSpaceDE w:val="false"/>
        <w:autoSpaceDN w:val="false"/>
        <w:adjustRightInd w:val="false"/>
        <w:spacing w:after="0" w:lineRule="auto" w:line="240"/>
        <w:rPr/>
      </w:pPr>
      <w:r>
        <w:t>Suivi, supervision des activités de terrain</w:t>
      </w:r>
      <w:r>
        <w:rPr>
          <w:b/>
        </w:rPr>
        <w:t xml:space="preserve"> </w:t>
      </w:r>
      <w:r>
        <w:rPr>
          <w:b/>
        </w:rPr>
        <w:t xml:space="preserve"> 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b/>
        </w:rPr>
      </w:pPr>
    </w:p>
    <w:p>
      <w:pPr>
        <w:pStyle w:val="style179"/>
        <w:numPr>
          <w:ilvl w:val="0"/>
          <w:numId w:val="1"/>
        </w:numPr>
        <w:tabs>
          <w:tab w:val="left" w:leader="none" w:pos="2964"/>
        </w:tabs>
        <w:rPr>
          <w:b/>
        </w:rPr>
      </w:pPr>
      <w:r>
        <w:t>Agent de Développement Communautaire ADC APROMORS/VSF-FAO Juin à Septembre2018</w:t>
      </w:r>
    </w:p>
    <w:p>
      <w:pPr>
        <w:pStyle w:val="style179"/>
        <w:numPr>
          <w:ilvl w:val="0"/>
          <w:numId w:val="11"/>
        </w:numPr>
        <w:tabs>
          <w:tab w:val="left" w:leader="none" w:pos="2964"/>
        </w:tabs>
        <w:rPr/>
      </w:pPr>
      <w:r>
        <w:t>Suivi des activités de déstockages et d’abatage des animaux</w:t>
      </w:r>
    </w:p>
    <w:p>
      <w:pPr>
        <w:pStyle w:val="style179"/>
        <w:numPr>
          <w:ilvl w:val="0"/>
          <w:numId w:val="11"/>
        </w:numPr>
        <w:tabs>
          <w:tab w:val="left" w:leader="none" w:pos="2964"/>
        </w:tabs>
        <w:rPr/>
      </w:pPr>
      <w:r>
        <w:t xml:space="preserve">Distribution de viande aux personnes âgées </w:t>
      </w:r>
      <w:r>
        <w:t>et aux enfants malnutris</w:t>
      </w:r>
    </w:p>
    <w:p>
      <w:pPr>
        <w:pStyle w:val="style179"/>
        <w:tabs>
          <w:tab w:val="left" w:leader="none" w:pos="2964"/>
        </w:tabs>
        <w:ind w:left="1440"/>
        <w:rPr/>
      </w:pPr>
      <w:r>
        <w:t>Dans les communes de : (Goundam, Télé, Bintagoungou, Issa-Bery et MBouna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after="0" w:lineRule="auto" w:line="240"/>
        <w:rPr/>
      </w:pPr>
      <w:r>
        <w:t>Suivi des activités de CASH/Orangemoney dans les commune de Kaneye et Douékiré.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/>
      </w:pPr>
    </w:p>
    <w:p>
      <w:pPr>
        <w:pStyle w:val="style179"/>
        <w:numPr>
          <w:ilvl w:val="0"/>
          <w:numId w:val="1"/>
        </w:numPr>
        <w:tabs>
          <w:tab w:val="left" w:leader="none" w:pos="2964"/>
        </w:tabs>
        <w:rPr/>
      </w:pPr>
      <w:r>
        <w:t>Agent de Développement Communautaire ADC APROMORS/FAO</w:t>
      </w:r>
      <w:r>
        <w:t xml:space="preserve"> Janvier 2016 à Décembre 2017 dans la commune de Gargando.</w:t>
      </w:r>
    </w:p>
    <w:p>
      <w:pPr>
        <w:pStyle w:val="style179"/>
        <w:numPr>
          <w:ilvl w:val="0"/>
          <w:numId w:val="13"/>
        </w:numPr>
        <w:autoSpaceDE w:val="false"/>
        <w:autoSpaceDN w:val="false"/>
        <w:adjustRightInd w:val="false"/>
        <w:spacing w:after="0" w:lineRule="auto" w:line="240"/>
        <w:rPr/>
      </w:pPr>
      <w:r>
        <w:t>Mise en place des comités de suivi et validation communal</w:t>
      </w:r>
    </w:p>
    <w:p>
      <w:pPr>
        <w:pStyle w:val="style179"/>
        <w:numPr>
          <w:ilvl w:val="0"/>
          <w:numId w:val="13"/>
        </w:numPr>
        <w:autoSpaceDE w:val="false"/>
        <w:autoSpaceDN w:val="false"/>
        <w:adjustRightInd w:val="false"/>
        <w:spacing w:after="0" w:lineRule="auto" w:line="240"/>
        <w:rPr/>
      </w:pPr>
      <w:r>
        <w:t>Mise en place des comités de suivi et validation villageois</w:t>
      </w:r>
    </w:p>
    <w:p>
      <w:pPr>
        <w:pStyle w:val="style179"/>
        <w:numPr>
          <w:ilvl w:val="0"/>
          <w:numId w:val="13"/>
        </w:numPr>
        <w:autoSpaceDE w:val="false"/>
        <w:autoSpaceDN w:val="false"/>
        <w:adjustRightInd w:val="false"/>
        <w:spacing w:after="0" w:lineRule="auto" w:line="240"/>
        <w:rPr/>
      </w:pPr>
      <w:r>
        <w:t xml:space="preserve">Identification des ménages éligibles aux critères de choix </w:t>
      </w:r>
    </w:p>
    <w:p>
      <w:pPr>
        <w:pStyle w:val="style179"/>
        <w:numPr>
          <w:ilvl w:val="0"/>
          <w:numId w:val="13"/>
        </w:numPr>
        <w:autoSpaceDE w:val="false"/>
        <w:autoSpaceDN w:val="false"/>
        <w:adjustRightInd w:val="false"/>
        <w:spacing w:after="0" w:lineRule="auto" w:line="240"/>
        <w:rPr/>
      </w:pPr>
      <w:r>
        <w:t>Dotation des ménage</w:t>
      </w:r>
      <w:r>
        <w:t xml:space="preserve">s bénéficiaires en semence, intrant et petits ruminants (chèvres) </w:t>
      </w:r>
    </w:p>
    <w:p>
      <w:pPr>
        <w:pStyle w:val="style0"/>
        <w:tabs>
          <w:tab w:val="left" w:leader="none" w:pos="2964"/>
        </w:tabs>
        <w:rPr/>
      </w:pPr>
      <w:r>
        <w:t xml:space="preserve">               Suivi, supervision des activités de terrain.</w:t>
      </w:r>
    </w:p>
    <w:p>
      <w:pPr>
        <w:pStyle w:val="style179"/>
        <w:numPr>
          <w:ilvl w:val="0"/>
          <w:numId w:val="1"/>
        </w:numPr>
        <w:rPr/>
      </w:pPr>
      <w:r>
        <w:t>Agent de Suivi des Cantines Scolaires APROMORS/PAM Janvier à Décembre 2015</w:t>
      </w:r>
      <w:r>
        <w:t xml:space="preserve"> dans les communes du Lac Faguibine : (Essakane, Bintagoungou, NBouna et Tin-Aïcha).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rPr/>
      </w:pPr>
      <w:r>
        <w:t xml:space="preserve">Mise en place de cantines scolaires 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rPr/>
      </w:pPr>
      <w:r>
        <w:t>Dotation des écoles en vivres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rPr/>
      </w:pPr>
      <w:r>
        <w:t>Suivi, Supervision des cantines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rPr/>
      </w:pPr>
      <w:r>
        <w:t>Formation des Directeurs au remplissage des bordereaux : magasin et prés</w:t>
      </w:r>
      <w:r>
        <w:t xml:space="preserve">ence 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rPr/>
      </w:pPr>
      <w:r>
        <w:t>La remonte des rapports mensuels des activités des cantines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sz w:val="20"/>
          <w:szCs w:val="20"/>
        </w:rPr>
      </w:pPr>
    </w:p>
    <w:p>
      <w:pPr>
        <w:pStyle w:val="style179"/>
        <w:numPr>
          <w:ilvl w:val="0"/>
          <w:numId w:val="1"/>
        </w:numPr>
        <w:rPr/>
      </w:pPr>
      <w:r>
        <w:t>Agent de distribution alimentaire et  NFI/ UNHCR au camp de refugiés  de M’Berra Mai 2013 à Décembre 2014.</w:t>
      </w:r>
    </w:p>
    <w:p>
      <w:pPr>
        <w:pStyle w:val="style179"/>
        <w:numPr>
          <w:ilvl w:val="0"/>
          <w:numId w:val="3"/>
        </w:numPr>
        <w:rPr/>
      </w:pPr>
      <w:r>
        <w:t>Assistance aux déplacés dans le camp</w:t>
      </w:r>
    </w:p>
    <w:p>
      <w:pPr>
        <w:pStyle w:val="style179"/>
        <w:numPr>
          <w:ilvl w:val="0"/>
          <w:numId w:val="1"/>
        </w:numPr>
        <w:rPr/>
      </w:pPr>
      <w:r>
        <w:t>Relais d’adicore - PAM au camp de refugiés  d</w:t>
      </w:r>
      <w:r>
        <w:t>e M’Berra  Juin 2012 au 15 janvier 2013</w:t>
      </w:r>
    </w:p>
    <w:p>
      <w:pPr>
        <w:pStyle w:val="style179"/>
        <w:numPr>
          <w:ilvl w:val="0"/>
          <w:numId w:val="3"/>
        </w:numPr>
        <w:rPr/>
      </w:pPr>
      <w:r>
        <w:t>Assistance aux enfants malnutris dans le camp (distribution CSB+ et Plompinet)</w:t>
      </w:r>
    </w:p>
    <w:p>
      <w:pPr>
        <w:pStyle w:val="style179"/>
        <w:numPr>
          <w:ilvl w:val="0"/>
          <w:numId w:val="1"/>
        </w:numPr>
        <w:rPr/>
      </w:pPr>
      <w:r>
        <w:t>Relais communautaire de l’aire de santé de Goundam durant toute l’année 2010</w:t>
      </w:r>
    </w:p>
    <w:p>
      <w:pPr>
        <w:pStyle w:val="style179"/>
        <w:numPr>
          <w:ilvl w:val="0"/>
          <w:numId w:val="3"/>
        </w:numPr>
        <w:rPr/>
      </w:pPr>
      <w:r>
        <w:t>Sensibilisation des communautés de l’Aire de Santé</w:t>
      </w:r>
    </w:p>
    <w:p>
      <w:pPr>
        <w:pStyle w:val="style179"/>
        <w:numPr>
          <w:ilvl w:val="0"/>
          <w:numId w:val="3"/>
        </w:numPr>
        <w:rPr/>
      </w:pPr>
      <w:r>
        <w:t>Participa</w:t>
      </w:r>
      <w:r>
        <w:t>tion aux campagnes de vaccination dans l’Aire</w:t>
      </w:r>
    </w:p>
    <w:p>
      <w:pPr>
        <w:pStyle w:val="style0"/>
        <w:ind w:left="1110"/>
        <w:rPr/>
      </w:pPr>
    </w:p>
    <w:p>
      <w:pPr>
        <w:pStyle w:val="style0"/>
        <w:rPr>
          <w:b/>
        </w:rPr>
      </w:pPr>
    </w:p>
    <w:p>
      <w:pPr>
        <w:pStyle w:val="style0"/>
        <w:tabs>
          <w:tab w:val="left" w:leader="none" w:pos="2210"/>
        </w:tabs>
        <w:jc w:val="center"/>
        <w:rPr>
          <w:rFonts w:ascii="Algerian" w:hAnsi="Algerian"/>
          <w:b/>
          <w:sz w:val="44"/>
          <w:szCs w:val="44"/>
          <w:u w:val="single"/>
          <w:shd w:val="clear" w:color="auto" w:fill="000000"/>
        </w:rPr>
      </w:pPr>
      <w:r>
        <w:rPr>
          <w:rFonts w:ascii="Algerian" w:hAnsi="Algerian"/>
          <w:b/>
          <w:sz w:val="44"/>
          <w:szCs w:val="44"/>
          <w:u w:val="single"/>
          <w:shd w:val="clear" w:color="auto" w:fill="000000"/>
        </w:rPr>
        <w:t xml:space="preserve">Informatique </w:t>
      </w:r>
    </w:p>
    <w:p>
      <w:pPr>
        <w:pStyle w:val="style0"/>
        <w:tabs>
          <w:tab w:val="left" w:leader="none" w:pos="2210"/>
        </w:tabs>
        <w:rPr/>
      </w:pPr>
      <w:r>
        <w:t>Connaissance en informatique : Word, Excel, Power Point</w:t>
      </w:r>
    </w:p>
    <w:p>
      <w:pPr>
        <w:pStyle w:val="style0"/>
        <w:tabs>
          <w:tab w:val="left" w:leader="none" w:pos="2210"/>
        </w:tabs>
        <w:jc w:val="center"/>
        <w:rPr>
          <w:rFonts w:ascii="Algerian" w:hAnsi="Algerian"/>
          <w:b/>
          <w:sz w:val="44"/>
          <w:szCs w:val="44"/>
          <w:u w:val="single"/>
        </w:rPr>
      </w:pPr>
      <w:r>
        <w:rPr>
          <w:rFonts w:ascii="Algerian" w:hAnsi="Algerian"/>
          <w:b/>
          <w:sz w:val="44"/>
          <w:szCs w:val="44"/>
          <w:u w:val="single"/>
          <w:shd w:val="clear" w:color="auto" w:fill="000000"/>
        </w:rPr>
        <w:t xml:space="preserve">Langues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>
        <w:trPr/>
        <w:tc>
          <w:tcPr>
            <w:tcW w:w="3055" w:type="dxa"/>
            <w:tcBorders/>
          </w:tcPr>
          <w:p>
            <w:pPr>
              <w:pStyle w:val="style0"/>
              <w:tabs>
                <w:tab w:val="left" w:leader="none" w:pos="2210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           Langue</w:t>
            </w:r>
          </w:p>
        </w:tc>
        <w:tc>
          <w:tcPr>
            <w:tcW w:w="3055" w:type="dxa"/>
            <w:tcBorders/>
          </w:tcPr>
          <w:p>
            <w:pPr>
              <w:pStyle w:val="style0"/>
              <w:tabs>
                <w:tab w:val="left" w:leader="none" w:pos="9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ab/>
            </w:r>
            <w:r>
              <w:rPr>
                <w:b/>
                <w:sz w:val="28"/>
                <w:szCs w:val="28"/>
              </w:rPr>
              <w:t>Parlés</w:t>
            </w:r>
          </w:p>
        </w:tc>
        <w:tc>
          <w:tcPr>
            <w:tcW w:w="3056" w:type="dxa"/>
            <w:tcBorders/>
          </w:tcPr>
          <w:p>
            <w:pPr>
              <w:pStyle w:val="style0"/>
              <w:tabs>
                <w:tab w:val="left" w:leader="none" w:pos="9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ab/>
            </w:r>
            <w:r>
              <w:rPr>
                <w:b/>
                <w:sz w:val="28"/>
                <w:szCs w:val="28"/>
              </w:rPr>
              <w:t>Ecrites</w:t>
            </w:r>
          </w:p>
        </w:tc>
      </w:tr>
      <w:tr>
        <w:tblPrEx/>
        <w:trPr/>
        <w:tc>
          <w:tcPr>
            <w:tcW w:w="3055" w:type="dxa"/>
            <w:tcBorders/>
          </w:tcPr>
          <w:p>
            <w:pPr>
              <w:pStyle w:val="style0"/>
              <w:tabs>
                <w:tab w:val="left" w:leader="none" w:pos="2210"/>
              </w:tabs>
              <w:rPr/>
            </w:pPr>
            <w:r>
              <w:t>Français</w:t>
            </w:r>
          </w:p>
        </w:tc>
        <w:tc>
          <w:tcPr>
            <w:tcW w:w="3055" w:type="dxa"/>
            <w:tcBorders/>
          </w:tcPr>
          <w:p>
            <w:pPr>
              <w:pStyle w:val="style0"/>
              <w:tabs>
                <w:tab w:val="left" w:leader="none" w:pos="2210"/>
              </w:tabs>
              <w:jc w:val="center"/>
              <w:rPr/>
            </w:pPr>
            <w:r>
              <w:t>Très bien</w:t>
            </w:r>
          </w:p>
        </w:tc>
        <w:tc>
          <w:tcPr>
            <w:tcW w:w="3056" w:type="dxa"/>
            <w:tcBorders/>
          </w:tcPr>
          <w:p>
            <w:pPr>
              <w:pStyle w:val="style0"/>
              <w:tabs>
                <w:tab w:val="left" w:leader="none" w:pos="2210"/>
              </w:tabs>
              <w:jc w:val="center"/>
              <w:rPr/>
            </w:pPr>
            <w:r>
              <w:t>Très bien</w:t>
            </w:r>
          </w:p>
        </w:tc>
      </w:tr>
      <w:tr>
        <w:tblPrEx/>
        <w:trPr/>
        <w:tc>
          <w:tcPr>
            <w:tcW w:w="3055" w:type="dxa"/>
            <w:tcBorders/>
          </w:tcPr>
          <w:p>
            <w:pPr>
              <w:pStyle w:val="style0"/>
              <w:tabs>
                <w:tab w:val="left" w:leader="none" w:pos="2210"/>
              </w:tabs>
              <w:rPr/>
            </w:pPr>
            <w:r>
              <w:t>Anglais</w:t>
            </w:r>
          </w:p>
        </w:tc>
        <w:tc>
          <w:tcPr>
            <w:tcW w:w="3055" w:type="dxa"/>
            <w:tcBorders/>
          </w:tcPr>
          <w:p>
            <w:pPr>
              <w:pStyle w:val="style0"/>
              <w:tabs>
                <w:tab w:val="left" w:leader="none" w:pos="2210"/>
              </w:tabs>
              <w:rPr/>
            </w:pPr>
            <w:r>
              <w:t xml:space="preserve">                     Passable</w:t>
            </w:r>
          </w:p>
        </w:tc>
        <w:tc>
          <w:tcPr>
            <w:tcW w:w="3056" w:type="dxa"/>
            <w:tcBorders/>
          </w:tcPr>
          <w:p>
            <w:pPr>
              <w:pStyle w:val="style0"/>
              <w:tabs>
                <w:tab w:val="left" w:leader="none" w:pos="2210"/>
              </w:tabs>
              <w:ind w:firstLine="708"/>
              <w:rPr/>
            </w:pPr>
            <w:r>
              <w:t xml:space="preserve">       Passable</w:t>
            </w:r>
          </w:p>
        </w:tc>
      </w:tr>
      <w:tr>
        <w:tblPrEx/>
        <w:trPr/>
        <w:tc>
          <w:tcPr>
            <w:tcW w:w="3055" w:type="dxa"/>
            <w:tcBorders/>
          </w:tcPr>
          <w:p>
            <w:pPr>
              <w:pStyle w:val="style0"/>
              <w:tabs>
                <w:tab w:val="left" w:leader="none" w:pos="2210"/>
              </w:tabs>
              <w:rPr/>
            </w:pPr>
            <w:r>
              <w:t>Tamasheq</w:t>
            </w:r>
          </w:p>
        </w:tc>
        <w:tc>
          <w:tcPr>
            <w:tcW w:w="3055" w:type="dxa"/>
            <w:tcBorders/>
          </w:tcPr>
          <w:p>
            <w:pPr>
              <w:pStyle w:val="style0"/>
              <w:tabs>
                <w:tab w:val="left" w:leader="none" w:pos="2210"/>
              </w:tabs>
              <w:rPr/>
            </w:pPr>
            <w:r>
              <w:t xml:space="preserve">                      Très bien</w:t>
            </w:r>
          </w:p>
        </w:tc>
        <w:tc>
          <w:tcPr>
            <w:tcW w:w="3056" w:type="dxa"/>
            <w:tcBorders/>
          </w:tcPr>
          <w:p>
            <w:pPr>
              <w:pStyle w:val="style0"/>
              <w:tabs>
                <w:tab w:val="left" w:leader="none" w:pos="2210"/>
              </w:tabs>
              <w:ind w:firstLine="708"/>
              <w:rPr/>
            </w:pPr>
            <w:r>
              <w:t xml:space="preserve">      Très bien</w:t>
            </w:r>
          </w:p>
        </w:tc>
      </w:tr>
      <w:tr>
        <w:tblPrEx/>
        <w:trPr/>
        <w:tc>
          <w:tcPr>
            <w:tcW w:w="3055" w:type="dxa"/>
            <w:tcBorders/>
          </w:tcPr>
          <w:p>
            <w:pPr>
              <w:pStyle w:val="style0"/>
              <w:tabs>
                <w:tab w:val="left" w:leader="none" w:pos="2210"/>
              </w:tabs>
              <w:rPr/>
            </w:pPr>
            <w:r>
              <w:t>Arabe</w:t>
            </w:r>
          </w:p>
        </w:tc>
        <w:tc>
          <w:tcPr>
            <w:tcW w:w="3055" w:type="dxa"/>
            <w:tcBorders/>
          </w:tcPr>
          <w:p>
            <w:pPr>
              <w:pStyle w:val="style0"/>
              <w:tabs>
                <w:tab w:val="left" w:leader="none" w:pos="2210"/>
              </w:tabs>
              <w:rPr/>
            </w:pPr>
            <w:r>
              <w:t xml:space="preserve">                        Très bien</w:t>
            </w:r>
          </w:p>
        </w:tc>
        <w:tc>
          <w:tcPr>
            <w:tcW w:w="3056" w:type="dxa"/>
            <w:tcBorders/>
          </w:tcPr>
          <w:p>
            <w:pPr>
              <w:pStyle w:val="style0"/>
              <w:tabs>
                <w:tab w:val="left" w:leader="none" w:pos="2210"/>
              </w:tabs>
              <w:ind w:firstLine="708"/>
              <w:rPr/>
            </w:pPr>
            <w:r>
              <w:t xml:space="preserve">     Passable</w:t>
            </w:r>
          </w:p>
        </w:tc>
      </w:tr>
      <w:tr>
        <w:tblPrEx/>
        <w:trPr/>
        <w:tc>
          <w:tcPr>
            <w:tcW w:w="3055" w:type="dxa"/>
            <w:tcBorders/>
          </w:tcPr>
          <w:p>
            <w:pPr>
              <w:pStyle w:val="style0"/>
              <w:tabs>
                <w:tab w:val="left" w:leader="none" w:pos="2210"/>
              </w:tabs>
              <w:rPr/>
            </w:pPr>
            <w:r>
              <w:t>Songhaï</w:t>
            </w:r>
          </w:p>
        </w:tc>
        <w:tc>
          <w:tcPr>
            <w:tcW w:w="3055" w:type="dxa"/>
            <w:tcBorders/>
          </w:tcPr>
          <w:p>
            <w:pPr>
              <w:pStyle w:val="style0"/>
              <w:tabs>
                <w:tab w:val="left" w:leader="none" w:pos="2210"/>
              </w:tabs>
              <w:rPr/>
            </w:pPr>
            <w:r>
              <w:t xml:space="preserve">                        Très bien</w:t>
            </w:r>
          </w:p>
        </w:tc>
        <w:tc>
          <w:tcPr>
            <w:tcW w:w="3056" w:type="dxa"/>
            <w:tcBorders/>
          </w:tcPr>
          <w:p>
            <w:pPr>
              <w:pStyle w:val="style0"/>
              <w:tabs>
                <w:tab w:val="left" w:leader="none" w:pos="960"/>
              </w:tabs>
              <w:rPr/>
            </w:pPr>
            <w:r>
              <w:tab/>
            </w:r>
            <w:r>
              <w:t>Passable</w:t>
            </w:r>
          </w:p>
        </w:tc>
      </w:tr>
    </w:tbl>
    <w:p>
      <w:pPr>
        <w:pStyle w:val="style0"/>
        <w:tabs>
          <w:tab w:val="left" w:leader="none" w:pos="3480"/>
        </w:tabs>
        <w:rPr>
          <w:b/>
        </w:rPr>
      </w:pPr>
    </w:p>
    <w:p>
      <w:pPr>
        <w:pStyle w:val="style0"/>
        <w:tabs>
          <w:tab w:val="left" w:leader="none" w:pos="3075"/>
        </w:tabs>
        <w:jc w:val="center"/>
        <w:rPr>
          <w:rFonts w:ascii="Algerian" w:hAnsi="Algerian"/>
          <w:b/>
          <w:sz w:val="44"/>
          <w:szCs w:val="44"/>
          <w:u w:val="single"/>
        </w:rPr>
      </w:pPr>
      <w:r>
        <w:rPr>
          <w:rFonts w:ascii="Algerian" w:hAnsi="Algerian"/>
          <w:b/>
          <w:sz w:val="44"/>
          <w:szCs w:val="44"/>
          <w:u w:val="single"/>
          <w:shd w:val="clear" w:color="auto" w:fill="000000"/>
        </w:rPr>
        <w:t>Loisir</w:t>
      </w:r>
    </w:p>
    <w:p>
      <w:pPr>
        <w:pStyle w:val="style0"/>
        <w:tabs>
          <w:tab w:val="left" w:leader="none" w:pos="3060"/>
        </w:tabs>
        <w:rPr/>
      </w:pPr>
      <w:r>
        <w:t xml:space="preserve">                                                         Lecture</w:t>
      </w:r>
      <w:r>
        <w:t xml:space="preserve"> - voyage – Musique – Sport</w:t>
      </w:r>
    </w:p>
    <w:p>
      <w:pPr>
        <w:pStyle w:val="style0"/>
        <w:tabs>
          <w:tab w:val="left" w:leader="none" w:pos="3060"/>
        </w:tabs>
        <w:rPr>
          <w:lang w:val="en-US"/>
        </w:rPr>
      </w:pPr>
      <w:r>
        <w:rPr>
          <w:b/>
          <w:lang w:val="en-US"/>
        </w:rPr>
        <w:t xml:space="preserve"> Contacts de reference:</w:t>
      </w:r>
    </w:p>
    <w:p>
      <w:pPr>
        <w:pStyle w:val="style0"/>
        <w:tabs>
          <w:tab w:val="left" w:leader="none" w:pos="3060"/>
        </w:tabs>
        <w:rPr>
          <w:lang w:val="en-US"/>
        </w:rPr>
      </w:pPr>
      <w:r>
        <w:rPr>
          <w:lang w:val="en-US"/>
        </w:rPr>
        <w:t>Amadou Maiga Coordinateur Programme FAO – APROMORS, Tel: 76137072 Email: amadoudiadieiloa@gmail.com</w:t>
      </w:r>
    </w:p>
    <w:p>
      <w:pPr>
        <w:pStyle w:val="style0"/>
        <w:tabs>
          <w:tab w:val="left" w:leader="none" w:pos="3060"/>
        </w:tabs>
        <w:rPr/>
      </w:pPr>
      <w:r>
        <w:rPr>
          <w:b/>
        </w:rPr>
        <w:t xml:space="preserve"> soussigné, certifie </w:t>
      </w:r>
      <w:r>
        <w:t xml:space="preserve">en toute conscience, que les renseignements ci-dessus rendent fidèlement compte de </w:t>
      </w:r>
      <w:r>
        <w:t>ma situation, de mes qualifications et de mes expériences.</w:t>
      </w:r>
    </w:p>
    <w:p>
      <w:pPr>
        <w:pStyle w:val="style0"/>
        <w:tabs>
          <w:tab w:val="left" w:leader="none" w:pos="3060"/>
        </w:tabs>
        <w:rPr>
          <w:b/>
          <w:lang w:val="en-US"/>
        </w:rPr>
      </w:pPr>
      <w:r>
        <w:rPr>
          <w:b/>
          <w:lang w:val="en-US"/>
        </w:rPr>
        <w:t xml:space="preserve">      </w:t>
      </w:r>
    </w:p>
    <w:p>
      <w:pPr>
        <w:pStyle w:val="style0"/>
        <w:tabs>
          <w:tab w:val="left" w:leader="none" w:pos="3060"/>
        </w:tabs>
        <w:rPr>
          <w:b/>
        </w:rPr>
      </w:pPr>
    </w:p>
    <w:p>
      <w:pPr>
        <w:pStyle w:val="style0"/>
        <w:tabs>
          <w:tab w:val="left" w:leader="none" w:pos="3060"/>
        </w:tabs>
        <w:rPr>
          <w:b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2 Février 2021</w:t>
      </w:r>
    </w:p>
    <w:p>
      <w:pPr>
        <w:pStyle w:val="style0"/>
        <w:tabs>
          <w:tab w:val="left" w:leader="none" w:pos="3060"/>
        </w:tabs>
        <w:rPr/>
      </w:pPr>
    </w:p>
    <w:p>
      <w:pPr>
        <w:pStyle w:val="style0"/>
        <w:tabs>
          <w:tab w:val="left" w:leader="none" w:pos="3060"/>
        </w:tabs>
        <w:rPr/>
      </w:pPr>
    </w:p>
    <w:sectPr>
      <w:pgSz w:w="11907" w:h="16839" w:orient="portrait" w:code="9"/>
      <w:pgMar w:top="1440" w:right="1440" w:bottom="1440" w:left="1440" w:header="708" w:footer="708" w:gutter="0"/>
      <w:pgBorders w:zOrder="front" w:display="allPages" w:offsetFrom="page">
        <w:top w:val="thickThinMediumGap" w:sz="48" w:space="24" w:color="auto"/>
        <w:left w:val="thickThinMediumGap" w:sz="48" w:space="24" w:color="auto"/>
        <w:bottom w:val="thinThickMediumGap" w:sz="48" w:space="24" w:color="auto"/>
        <w:right w:val="thinThickMediumGap" w:sz="48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altName w:val="Blackadder ITC"/>
    <w:panose1 w:val="04020505050000020d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0271B4"/>
    <w:lvl w:ilvl="0" w:tplc="040C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DB89D52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B0678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22EED0C"/>
    <w:lvl w:ilvl="0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6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7D0DE30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9563D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18A6B9A"/>
    <w:lvl w:ilvl="0" w:tplc="04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1CE89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A8935C"/>
    <w:lvl w:ilvl="0" w:tplc="04090009">
      <w:start w:val="1"/>
      <w:numFmt w:val="bullet"/>
      <w:lvlText w:val=""/>
      <w:lvlJc w:val="left"/>
      <w:pPr>
        <w:ind w:left="7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F4E0EA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22C47A8"/>
    <w:lvl w:ilvl="0" w:tplc="0409000D">
      <w:start w:val="1"/>
      <w:numFmt w:val="bullet"/>
      <w:lvlText w:val=""/>
      <w:lvlJc w:val="left"/>
      <w:pPr>
        <w:ind w:left="4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5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74C424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25464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BA05F7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0826074"/>
    <w:lvl w:ilvl="0" w:tplc="0409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0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link w:val="style4104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43">
    <w:name w:val="endnote text"/>
    <w:basedOn w:val="style0"/>
    <w:next w:val="style43"/>
    <w:link w:val="style4097"/>
    <w:uiPriority w:val="99"/>
    <w:pPr>
      <w:spacing w:after="0" w:lineRule="auto" w:line="240"/>
    </w:pPr>
    <w:rPr>
      <w:sz w:val="20"/>
      <w:szCs w:val="20"/>
    </w:rPr>
  </w:style>
  <w:style w:type="character" w:customStyle="1" w:styleId="style4097">
    <w:name w:val="Note de fin Car"/>
    <w:basedOn w:val="style65"/>
    <w:next w:val="style4097"/>
    <w:link w:val="style43"/>
    <w:uiPriority w:val="99"/>
    <w:rPr>
      <w:sz w:val="20"/>
      <w:szCs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uiPriority w:val="99"/>
    <w:pPr>
      <w:spacing w:lineRule="auto" w:line="240"/>
    </w:pPr>
    <w:rPr>
      <w:sz w:val="20"/>
      <w:szCs w:val="20"/>
    </w:rPr>
  </w:style>
  <w:style w:type="character" w:customStyle="1" w:styleId="style4098">
    <w:name w:val="Commentaire Car"/>
    <w:basedOn w:val="style65"/>
    <w:next w:val="style4098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9"/>
    <w:uiPriority w:val="99"/>
    <w:pPr/>
    <w:rPr>
      <w:b/>
      <w:bCs/>
    </w:rPr>
  </w:style>
  <w:style w:type="character" w:customStyle="1" w:styleId="style4099">
    <w:name w:val="Objet du commentaire Car"/>
    <w:basedOn w:val="style4098"/>
    <w:next w:val="style4099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Texte de bulles C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paragraph" w:styleId="style89">
    <w:name w:val="Document Map"/>
    <w:basedOn w:val="style0"/>
    <w:next w:val="style89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Explorateur de documents Car"/>
    <w:basedOn w:val="style65"/>
    <w:next w:val="style4101"/>
    <w:link w:val="style89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2">
    <w:name w:val="En-tête Car"/>
    <w:basedOn w:val="style65"/>
    <w:next w:val="style4102"/>
    <w:link w:val="style31"/>
    <w:uiPriority w:val="99"/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3">
    <w:name w:val="Pied de page Car"/>
    <w:basedOn w:val="style65"/>
    <w:next w:val="style4103"/>
    <w:link w:val="style32"/>
    <w:uiPriority w:val="99"/>
  </w:style>
  <w:style w:type="character" w:customStyle="1" w:styleId="style4104">
    <w:name w:val="Paragraphe de liste Car"/>
    <w:next w:val="style4104"/>
    <w:link w:val="style179"/>
    <w:uiPriority w:val="34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621</Words>
  <Pages>3</Pages>
  <Characters>3585</Characters>
  <Application>WPS Office</Application>
  <DocSecurity>0</DocSecurity>
  <Paragraphs>113</Paragraphs>
  <ScaleCrop>false</ScaleCrop>
  <LinksUpToDate>false</LinksUpToDate>
  <CharactersWithSpaces>4863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2020-11-30T11:18:41Z</dcterms:created>
  <dc:creator>TOSHIBA</dc:creator>
  <lastModifiedBy>TECNO KA7</lastModifiedBy>
  <dcterms:modified xsi:type="dcterms:W3CDTF">2021-02-02T12:51:58Z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